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86661" w14:textId="77777777" w:rsidR="003F1CD0" w:rsidRDefault="003F1CD0" w:rsidP="00E95380">
      <w:pPr>
        <w:pStyle w:val="Sinespaciado"/>
        <w:jc w:val="center"/>
        <w:rPr>
          <w:rFonts w:ascii="Aptos" w:hAnsi="Aptos" w:cstheme="minorHAnsi"/>
          <w:b/>
        </w:rPr>
      </w:pPr>
    </w:p>
    <w:p w14:paraId="46453D8E" w14:textId="77777777" w:rsidR="003F1CD0" w:rsidRDefault="003F1CD0" w:rsidP="00E95380">
      <w:pPr>
        <w:pStyle w:val="Sinespaciado"/>
        <w:jc w:val="center"/>
        <w:rPr>
          <w:rFonts w:ascii="Aptos" w:hAnsi="Aptos" w:cstheme="minorHAnsi"/>
          <w:b/>
        </w:rPr>
      </w:pPr>
    </w:p>
    <w:p w14:paraId="56BB9A4C" w14:textId="449C9677" w:rsidR="00ED4727" w:rsidRPr="00DA67F8" w:rsidRDefault="00ED4727" w:rsidP="00E95380">
      <w:pPr>
        <w:pStyle w:val="Sinespaciado"/>
        <w:jc w:val="center"/>
        <w:rPr>
          <w:rFonts w:ascii="Aptos" w:hAnsi="Aptos" w:cstheme="minorHAnsi"/>
          <w:b/>
        </w:rPr>
      </w:pPr>
      <w:r w:rsidRPr="00DA67F8">
        <w:rPr>
          <w:rFonts w:ascii="Aptos" w:hAnsi="Aptos" w:cstheme="minorHAnsi"/>
          <w:b/>
        </w:rPr>
        <w:t xml:space="preserve">MODELO DE </w:t>
      </w:r>
      <w:r w:rsidR="0076698B" w:rsidRPr="00DA67F8">
        <w:rPr>
          <w:rFonts w:ascii="Aptos" w:hAnsi="Aptos" w:cstheme="minorHAnsi"/>
          <w:b/>
        </w:rPr>
        <w:t>RECURSO DE APELACIÓN AL TRIBUNAL DEL SERVICIO CIVIL POR SANCIÓN DE DESTITUCIÓN</w:t>
      </w:r>
    </w:p>
    <w:p w14:paraId="3C465558" w14:textId="77777777" w:rsidR="0076698B" w:rsidRPr="00DA67F8" w:rsidRDefault="0076698B" w:rsidP="00E95380">
      <w:pPr>
        <w:pStyle w:val="Sinespaciado"/>
        <w:jc w:val="center"/>
        <w:rPr>
          <w:rFonts w:ascii="Aptos" w:hAnsi="Aptos" w:cstheme="minorHAnsi"/>
          <w:b/>
        </w:rPr>
      </w:pPr>
    </w:p>
    <w:p w14:paraId="7D4129BD" w14:textId="5B9D67E3" w:rsidR="0076698B" w:rsidRDefault="00DA67F8" w:rsidP="00E95380">
      <w:pPr>
        <w:pStyle w:val="Sinespaciado"/>
        <w:jc w:val="center"/>
        <w:rPr>
          <w:rFonts w:ascii="Aptos" w:hAnsi="Aptos" w:cstheme="minorHAnsi"/>
          <w:b/>
        </w:rPr>
      </w:pPr>
      <w:r w:rsidRPr="00DA67F8">
        <w:rPr>
          <w:rFonts w:ascii="Aptos" w:hAnsi="Aptos" w:cstheme="minorHAnsi"/>
          <w:b/>
        </w:rPr>
        <w:t xml:space="preserve">José </w:t>
      </w:r>
      <w:r w:rsidR="003C2031">
        <w:rPr>
          <w:rFonts w:ascii="Aptos" w:hAnsi="Aptos" w:cstheme="minorHAnsi"/>
          <w:b/>
        </w:rPr>
        <w:t xml:space="preserve">María Pacori </w:t>
      </w:r>
      <w:r w:rsidR="00102087">
        <w:rPr>
          <w:rFonts w:ascii="Aptos" w:hAnsi="Aptos" w:cstheme="minorHAnsi"/>
          <w:b/>
        </w:rPr>
        <w:t>C</w:t>
      </w:r>
      <w:r w:rsidR="003C2031">
        <w:rPr>
          <w:rFonts w:ascii="Aptos" w:hAnsi="Aptos" w:cstheme="minorHAnsi"/>
          <w:b/>
        </w:rPr>
        <w:t>ari</w:t>
      </w:r>
      <w:r w:rsidR="00F036A1" w:rsidRPr="00A30759">
        <w:rPr>
          <w:rStyle w:val="Refdenotaalpie"/>
          <w:sz w:val="26"/>
          <w:szCs w:val="26"/>
        </w:rPr>
        <w:footnoteReference w:customMarkFollows="1" w:id="1"/>
        <w:t>*</w:t>
      </w:r>
    </w:p>
    <w:p w14:paraId="3FE3B292" w14:textId="22629CB4" w:rsidR="00102087" w:rsidRPr="00DA67F8" w:rsidRDefault="00102087" w:rsidP="00E95380">
      <w:pPr>
        <w:pStyle w:val="Sinespaciado"/>
        <w:jc w:val="center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t>Maestro en Derecho Administrativo por la Universidad Nacional de San Agustín en el Perú. Socio de la Asociación Española de Derecho del Trabajo y de la Seguridad Social</w:t>
      </w:r>
    </w:p>
    <w:p w14:paraId="11572F71" w14:textId="77777777" w:rsidR="0076698B" w:rsidRDefault="0076698B" w:rsidP="0076698B">
      <w:pPr>
        <w:pStyle w:val="Sinespaciado"/>
        <w:jc w:val="both"/>
        <w:rPr>
          <w:rFonts w:ascii="Aptos" w:hAnsi="Aptos" w:cstheme="minorHAnsi"/>
          <w:b/>
        </w:rPr>
      </w:pPr>
    </w:p>
    <w:p w14:paraId="3B118794" w14:textId="6EF490EC" w:rsidR="00E25452" w:rsidRDefault="00E25452" w:rsidP="0076698B">
      <w:pPr>
        <w:pStyle w:val="Sinespaciado"/>
        <w:jc w:val="both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t xml:space="preserve">Área: Derecho </w:t>
      </w:r>
      <w:r w:rsidR="00891576">
        <w:rPr>
          <w:rFonts w:ascii="Aptos" w:hAnsi="Aptos" w:cstheme="minorHAnsi"/>
          <w:b/>
        </w:rPr>
        <w:t>Disciplinario</w:t>
      </w:r>
    </w:p>
    <w:p w14:paraId="4222AD2F" w14:textId="54BD0FA8" w:rsidR="00891576" w:rsidRDefault="00891576" w:rsidP="0076698B">
      <w:pPr>
        <w:pStyle w:val="Sinespaciado"/>
        <w:jc w:val="both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t>Línea: Sanciones disciplinarias</w:t>
      </w:r>
    </w:p>
    <w:p w14:paraId="6B044A91" w14:textId="77777777" w:rsidR="00891576" w:rsidRDefault="00891576" w:rsidP="0076698B">
      <w:pPr>
        <w:pStyle w:val="Sinespaciado"/>
        <w:jc w:val="both"/>
        <w:rPr>
          <w:rFonts w:ascii="Aptos" w:hAnsi="Aptos" w:cstheme="minorHAnsi"/>
          <w:b/>
        </w:rPr>
      </w:pPr>
    </w:p>
    <w:p w14:paraId="60F5559C" w14:textId="3EE227F3" w:rsidR="00E25452" w:rsidRPr="00E25452" w:rsidRDefault="00C01978" w:rsidP="0076698B">
      <w:pPr>
        <w:pStyle w:val="Sinespaciado"/>
        <w:jc w:val="both"/>
        <w:rPr>
          <w:rFonts w:ascii="Aptos" w:hAnsi="Aptos" w:cstheme="minorHAnsi"/>
          <w:bCs/>
        </w:rPr>
      </w:pPr>
      <w:r w:rsidRPr="00E25452">
        <w:rPr>
          <w:rFonts w:ascii="Aptos" w:hAnsi="Aptos" w:cstheme="minorHAnsi"/>
          <w:bCs/>
        </w:rPr>
        <w:t>Eres servidor público (728, 276, CAS o Ley 30057)</w:t>
      </w:r>
      <w:r w:rsidR="0033158A" w:rsidRPr="00E25452">
        <w:rPr>
          <w:rFonts w:ascii="Aptos" w:hAnsi="Aptos" w:cstheme="minorHAnsi"/>
          <w:bCs/>
        </w:rPr>
        <w:t xml:space="preserve"> al que han sancionado con destitución, luego presentaste </w:t>
      </w:r>
      <w:r w:rsidR="002C5780" w:rsidRPr="00E25452">
        <w:rPr>
          <w:rFonts w:ascii="Aptos" w:hAnsi="Aptos" w:cstheme="minorHAnsi"/>
          <w:bCs/>
        </w:rPr>
        <w:t xml:space="preserve">tu </w:t>
      </w:r>
      <w:r w:rsidR="0033158A" w:rsidRPr="00E25452">
        <w:rPr>
          <w:rFonts w:ascii="Aptos" w:hAnsi="Aptos" w:cstheme="minorHAnsi"/>
          <w:bCs/>
        </w:rPr>
        <w:t>recurso de reconsideración</w:t>
      </w:r>
      <w:r w:rsidR="00BA0445" w:rsidRPr="00E25452">
        <w:rPr>
          <w:rFonts w:ascii="Aptos" w:hAnsi="Aptos" w:cstheme="minorHAnsi"/>
          <w:bCs/>
        </w:rPr>
        <w:t xml:space="preserve"> con</w:t>
      </w:r>
      <w:r w:rsidR="002C5780" w:rsidRPr="00E25452">
        <w:rPr>
          <w:rFonts w:ascii="Aptos" w:hAnsi="Aptos" w:cstheme="minorHAnsi"/>
          <w:bCs/>
        </w:rPr>
        <w:t>tra</w:t>
      </w:r>
      <w:r w:rsidR="00BA0445" w:rsidRPr="00E25452">
        <w:rPr>
          <w:rFonts w:ascii="Aptos" w:hAnsi="Aptos" w:cstheme="minorHAnsi"/>
          <w:bCs/>
        </w:rPr>
        <w:t xml:space="preserve"> la sanción de destitución y han desestimado tu reconsideración </w:t>
      </w:r>
      <w:r w:rsidR="00BA0445" w:rsidRPr="00891576">
        <w:rPr>
          <w:rFonts w:ascii="Aptos" w:hAnsi="Aptos" w:cstheme="minorHAnsi"/>
          <w:b/>
        </w:rPr>
        <w:t xml:space="preserve">¿qué </w:t>
      </w:r>
      <w:r w:rsidR="002C5780" w:rsidRPr="00891576">
        <w:rPr>
          <w:rFonts w:ascii="Aptos" w:hAnsi="Aptos" w:cstheme="minorHAnsi"/>
          <w:b/>
        </w:rPr>
        <w:t>se debe hacer?</w:t>
      </w:r>
      <w:r w:rsidR="002C5780" w:rsidRPr="00E25452">
        <w:rPr>
          <w:rFonts w:ascii="Aptos" w:hAnsi="Aptos" w:cstheme="minorHAnsi"/>
          <w:bCs/>
        </w:rPr>
        <w:t xml:space="preserve"> Corresponde presentar </w:t>
      </w:r>
      <w:r w:rsidR="00997E61" w:rsidRPr="00E25452">
        <w:rPr>
          <w:rFonts w:ascii="Aptos" w:hAnsi="Aptos" w:cstheme="minorHAnsi"/>
          <w:bCs/>
        </w:rPr>
        <w:t>un recurso de apelación para que se eleve el expediente al Tribunal del Servicio Civil</w:t>
      </w:r>
      <w:r w:rsidR="00E25452" w:rsidRPr="00E25452">
        <w:rPr>
          <w:rFonts w:ascii="Aptos" w:hAnsi="Aptos" w:cstheme="minorHAnsi"/>
          <w:bCs/>
        </w:rPr>
        <w:t>, este es un modelo de este recurso de apelación, porque al servir a los demás seremos libres (autor José María Pacori Cari).</w:t>
      </w:r>
    </w:p>
    <w:p w14:paraId="0D3E5D53" w14:textId="77777777" w:rsidR="009F22CD" w:rsidRDefault="00997E61" w:rsidP="0076698B">
      <w:pPr>
        <w:pStyle w:val="Sinespaciado"/>
        <w:jc w:val="both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t xml:space="preserve"> </w:t>
      </w:r>
    </w:p>
    <w:p w14:paraId="45E943A4" w14:textId="77777777" w:rsidR="00097E2B" w:rsidRDefault="009F22CD" w:rsidP="00097E2B">
      <w:pPr>
        <w:pStyle w:val="Sinespaciado"/>
        <w:jc w:val="center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t xml:space="preserve">Modelo de recurso administrativo de apelación contra </w:t>
      </w:r>
      <w:r w:rsidR="00097E2B">
        <w:rPr>
          <w:rFonts w:ascii="Aptos" w:hAnsi="Aptos" w:cstheme="minorHAnsi"/>
          <w:b/>
        </w:rPr>
        <w:t>la destitución de un servidor</w:t>
      </w:r>
    </w:p>
    <w:p w14:paraId="566FDAF7" w14:textId="4B924837" w:rsidR="00E95380" w:rsidRPr="00DA67F8" w:rsidRDefault="002C5780" w:rsidP="0076698B">
      <w:pPr>
        <w:pStyle w:val="Sinespaciado"/>
        <w:jc w:val="both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t xml:space="preserve"> </w:t>
      </w:r>
    </w:p>
    <w:p w14:paraId="6967BC7D" w14:textId="37B8C6E7" w:rsidR="006B7D36" w:rsidRPr="00DA67F8" w:rsidRDefault="006B7D36" w:rsidP="0076698B">
      <w:pPr>
        <w:pStyle w:val="Sinespaciado"/>
        <w:ind w:left="709"/>
        <w:jc w:val="both"/>
        <w:rPr>
          <w:rFonts w:ascii="Aptos" w:hAnsi="Aptos" w:cstheme="minorHAnsi"/>
          <w:b/>
        </w:rPr>
      </w:pPr>
      <w:r w:rsidRPr="00DA67F8">
        <w:rPr>
          <w:rFonts w:ascii="Aptos" w:hAnsi="Aptos" w:cstheme="minorHAnsi"/>
          <w:b/>
        </w:rPr>
        <w:t xml:space="preserve">EXPEDIENTE </w:t>
      </w:r>
      <w:r w:rsidRPr="00DA67F8">
        <w:rPr>
          <w:rFonts w:ascii="Aptos" w:hAnsi="Aptos" w:cstheme="minorHAnsi"/>
          <w:b/>
        </w:rPr>
        <w:tab/>
      </w:r>
      <w:r w:rsidR="00FF1B4F">
        <w:rPr>
          <w:rFonts w:ascii="Aptos" w:hAnsi="Aptos" w:cstheme="minorHAnsi"/>
          <w:b/>
        </w:rPr>
        <w:t>Nro. [indicar el número del expediente disciplinario]</w:t>
      </w:r>
    </w:p>
    <w:p w14:paraId="44EE8343" w14:textId="7D606B85" w:rsidR="006B7D36" w:rsidRPr="00DA67F8" w:rsidRDefault="006B7D36" w:rsidP="0076698B">
      <w:pPr>
        <w:pStyle w:val="Sinespaciado"/>
        <w:ind w:left="709"/>
        <w:jc w:val="both"/>
        <w:rPr>
          <w:rFonts w:ascii="Aptos" w:hAnsi="Aptos" w:cstheme="minorHAnsi"/>
        </w:rPr>
      </w:pPr>
      <w:r w:rsidRPr="00DA67F8">
        <w:rPr>
          <w:rFonts w:ascii="Aptos" w:hAnsi="Aptos" w:cstheme="minorHAnsi"/>
          <w:b/>
        </w:rPr>
        <w:t>SUMILLA</w:t>
      </w:r>
      <w:r w:rsidRPr="00DA67F8">
        <w:rPr>
          <w:rFonts w:ascii="Aptos" w:hAnsi="Aptos" w:cstheme="minorHAnsi"/>
          <w:b/>
        </w:rPr>
        <w:tab/>
        <w:t xml:space="preserve">Interpongo </w:t>
      </w:r>
      <w:r w:rsidR="005D6626" w:rsidRPr="00DA67F8">
        <w:rPr>
          <w:rFonts w:ascii="Aptos" w:hAnsi="Aptos" w:cstheme="minorHAnsi"/>
          <w:b/>
        </w:rPr>
        <w:t>r</w:t>
      </w:r>
      <w:r w:rsidRPr="00DA67F8">
        <w:rPr>
          <w:rFonts w:ascii="Aptos" w:hAnsi="Aptos" w:cstheme="minorHAnsi"/>
          <w:b/>
        </w:rPr>
        <w:t xml:space="preserve">ecurso </w:t>
      </w:r>
      <w:r w:rsidR="005D6626" w:rsidRPr="00DA67F8">
        <w:rPr>
          <w:rFonts w:ascii="Aptos" w:hAnsi="Aptos" w:cstheme="minorHAnsi"/>
          <w:b/>
        </w:rPr>
        <w:t>a</w:t>
      </w:r>
      <w:r w:rsidRPr="00DA67F8">
        <w:rPr>
          <w:rFonts w:ascii="Aptos" w:hAnsi="Aptos" w:cstheme="minorHAnsi"/>
          <w:b/>
        </w:rPr>
        <w:t xml:space="preserve">dministrativo de </w:t>
      </w:r>
      <w:r w:rsidR="005D6626" w:rsidRPr="00DA67F8">
        <w:rPr>
          <w:rFonts w:ascii="Aptos" w:hAnsi="Aptos" w:cstheme="minorHAnsi"/>
          <w:b/>
          <w:u w:val="single"/>
        </w:rPr>
        <w:t>a</w:t>
      </w:r>
      <w:r w:rsidRPr="00DA67F8">
        <w:rPr>
          <w:rFonts w:ascii="Aptos" w:hAnsi="Aptos" w:cstheme="minorHAnsi"/>
          <w:b/>
          <w:u w:val="single"/>
        </w:rPr>
        <w:t>pelación</w:t>
      </w:r>
      <w:r w:rsidR="00AC18A3" w:rsidRPr="00DA67F8">
        <w:rPr>
          <w:rFonts w:ascii="Aptos" w:hAnsi="Aptos" w:cstheme="minorHAnsi"/>
          <w:b/>
          <w:u w:val="single"/>
        </w:rPr>
        <w:t xml:space="preserve"> contra la</w:t>
      </w:r>
      <w:r w:rsidR="00BE2D40" w:rsidRPr="00DA67F8">
        <w:rPr>
          <w:rFonts w:ascii="Aptos" w:hAnsi="Aptos" w:cstheme="minorHAnsi"/>
          <w:b/>
          <w:u w:val="single"/>
        </w:rPr>
        <w:t xml:space="preserve"> </w:t>
      </w:r>
      <w:r w:rsidRPr="00DA67F8">
        <w:rPr>
          <w:rFonts w:ascii="Aptos" w:hAnsi="Aptos" w:cstheme="minorHAnsi"/>
          <w:b/>
          <w:u w:val="single"/>
        </w:rPr>
        <w:t xml:space="preserve">Resolución </w:t>
      </w:r>
      <w:r w:rsidR="00FF1B4F">
        <w:rPr>
          <w:rFonts w:ascii="Aptos" w:hAnsi="Aptos" w:cstheme="minorHAnsi"/>
          <w:b/>
          <w:u w:val="single"/>
        </w:rPr>
        <w:t>[identificar la resolución]</w:t>
      </w:r>
      <w:r w:rsidR="00BE2D40" w:rsidRPr="00DA67F8">
        <w:rPr>
          <w:rFonts w:ascii="Aptos" w:hAnsi="Aptos" w:cstheme="minorHAnsi"/>
          <w:b/>
        </w:rPr>
        <w:t xml:space="preserve"> que </w:t>
      </w:r>
      <w:r w:rsidR="002E06C7" w:rsidRPr="00DA67F8">
        <w:rPr>
          <w:rFonts w:ascii="Aptos" w:hAnsi="Aptos" w:cstheme="minorHAnsi"/>
          <w:b/>
        </w:rPr>
        <w:t xml:space="preserve">declarando improcedente mi recurso de reconsideración confirma la </w:t>
      </w:r>
      <w:r w:rsidR="002B4A9F" w:rsidRPr="00DA67F8">
        <w:rPr>
          <w:rFonts w:ascii="Aptos" w:hAnsi="Aptos" w:cstheme="minorHAnsi"/>
          <w:b/>
        </w:rPr>
        <w:t xml:space="preserve">Resolución </w:t>
      </w:r>
      <w:r w:rsidR="00BA1FAF">
        <w:rPr>
          <w:rFonts w:ascii="Aptos" w:hAnsi="Aptos" w:cstheme="minorHAnsi"/>
          <w:b/>
        </w:rPr>
        <w:t>[identificar la resolución]</w:t>
      </w:r>
      <w:r w:rsidR="00210A18" w:rsidRPr="00DA67F8">
        <w:rPr>
          <w:rFonts w:ascii="Aptos" w:hAnsi="Aptos" w:cstheme="minorHAnsi"/>
          <w:b/>
        </w:rPr>
        <w:t xml:space="preserve"> que me impone sanción de </w:t>
      </w:r>
      <w:r w:rsidR="00210A18" w:rsidRPr="00DA67F8">
        <w:rPr>
          <w:rFonts w:ascii="Aptos" w:hAnsi="Aptos" w:cstheme="minorHAnsi"/>
          <w:b/>
          <w:u w:val="single"/>
        </w:rPr>
        <w:t>destitución</w:t>
      </w:r>
    </w:p>
    <w:p w14:paraId="0D2E82D3" w14:textId="77777777" w:rsidR="006B7D36" w:rsidRPr="00DA67F8" w:rsidRDefault="006B7D36" w:rsidP="0076698B">
      <w:pPr>
        <w:pStyle w:val="Sinespaciado"/>
        <w:jc w:val="both"/>
        <w:rPr>
          <w:rFonts w:ascii="Aptos" w:hAnsi="Aptos" w:cstheme="minorHAnsi"/>
        </w:rPr>
      </w:pPr>
    </w:p>
    <w:p w14:paraId="4C5D9831" w14:textId="3CF03AA9" w:rsidR="006B7D36" w:rsidRPr="00DA67F8" w:rsidRDefault="006B7D36" w:rsidP="0076698B">
      <w:pPr>
        <w:spacing w:line="240" w:lineRule="auto"/>
        <w:jc w:val="both"/>
        <w:rPr>
          <w:rFonts w:ascii="Aptos" w:hAnsi="Aptos" w:cstheme="minorHAnsi"/>
          <w:b/>
          <w:bCs/>
        </w:rPr>
      </w:pPr>
      <w:r w:rsidRPr="00DA67F8">
        <w:rPr>
          <w:rFonts w:ascii="Aptos" w:hAnsi="Aptos" w:cstheme="minorHAnsi"/>
          <w:b/>
          <w:bCs/>
        </w:rPr>
        <w:t xml:space="preserve">SEÑOR </w:t>
      </w:r>
      <w:r w:rsidR="00BA1FAF">
        <w:rPr>
          <w:rFonts w:ascii="Aptos" w:hAnsi="Aptos" w:cstheme="minorHAnsi"/>
          <w:b/>
          <w:bCs/>
        </w:rPr>
        <w:t xml:space="preserve">[indicar la denominación de la </w:t>
      </w:r>
      <w:r w:rsidR="0012631A">
        <w:rPr>
          <w:rFonts w:ascii="Aptos" w:hAnsi="Aptos" w:cstheme="minorHAnsi"/>
          <w:b/>
          <w:bCs/>
        </w:rPr>
        <w:t xml:space="preserve">autoridad que resuelve el recurso de reconsideración que es la misma que impuso la destitución, por ejemplo, </w:t>
      </w:r>
      <w:r w:rsidRPr="00DA67F8">
        <w:rPr>
          <w:rFonts w:ascii="Aptos" w:hAnsi="Aptos" w:cstheme="minorHAnsi"/>
          <w:b/>
          <w:bCs/>
        </w:rPr>
        <w:t xml:space="preserve">GERENTE GENERAL </w:t>
      </w:r>
      <w:r w:rsidR="00357DB7" w:rsidRPr="00DA67F8">
        <w:rPr>
          <w:rFonts w:ascii="Aptos" w:hAnsi="Aptos" w:cstheme="minorHAnsi"/>
          <w:b/>
          <w:bCs/>
        </w:rPr>
        <w:t xml:space="preserve">DE LA GERENCIA GENERAL </w:t>
      </w:r>
      <w:r w:rsidRPr="00DA67F8">
        <w:rPr>
          <w:rFonts w:ascii="Aptos" w:hAnsi="Aptos" w:cstheme="minorHAnsi"/>
          <w:b/>
          <w:bCs/>
        </w:rPr>
        <w:t xml:space="preserve">DEL </w:t>
      </w:r>
      <w:r w:rsidR="00956D4C" w:rsidRPr="00DA67F8">
        <w:rPr>
          <w:rFonts w:ascii="Aptos" w:hAnsi="Aptos" w:cstheme="minorHAnsi"/>
          <w:b/>
          <w:bCs/>
        </w:rPr>
        <w:t>PODER JUDICIAL</w:t>
      </w:r>
      <w:r w:rsidR="006C4CE9">
        <w:rPr>
          <w:rFonts w:ascii="Aptos" w:hAnsi="Aptos" w:cstheme="minorHAnsi"/>
          <w:b/>
          <w:bCs/>
        </w:rPr>
        <w:t>]</w:t>
      </w:r>
      <w:r w:rsidRPr="00DA67F8">
        <w:rPr>
          <w:rStyle w:val="Refdenotaalpie"/>
          <w:rFonts w:ascii="Aptos" w:hAnsi="Aptos" w:cstheme="minorHAnsi"/>
        </w:rPr>
        <w:footnoteReference w:id="2"/>
      </w:r>
    </w:p>
    <w:p w14:paraId="07AC30E5" w14:textId="61355704" w:rsidR="006B7D36" w:rsidRPr="00DA67F8" w:rsidRDefault="006C4CE9" w:rsidP="0076698B">
      <w:pPr>
        <w:pStyle w:val="Sinespaciado"/>
        <w:ind w:left="708"/>
        <w:jc w:val="both"/>
        <w:rPr>
          <w:rFonts w:ascii="Aptos" w:hAnsi="Aptos" w:cstheme="minorHAnsi"/>
        </w:rPr>
      </w:pPr>
      <w:r>
        <w:rPr>
          <w:rFonts w:ascii="Aptos" w:hAnsi="Aptos"/>
          <w:b/>
          <w:bCs/>
        </w:rPr>
        <w:t>[nombres y apellidos del servidor destituido]</w:t>
      </w:r>
      <w:r w:rsidR="00A64039" w:rsidRPr="00DA67F8">
        <w:rPr>
          <w:rFonts w:ascii="Aptos" w:hAnsi="Aptos"/>
        </w:rPr>
        <w:t xml:space="preserve">, identificado con DNI Nro. </w:t>
      </w:r>
      <w:r w:rsidR="005067D2">
        <w:rPr>
          <w:rFonts w:ascii="Aptos" w:hAnsi="Aptos"/>
        </w:rPr>
        <w:t>[número]</w:t>
      </w:r>
      <w:r w:rsidR="00A64039" w:rsidRPr="00DA67F8">
        <w:rPr>
          <w:rFonts w:ascii="Aptos" w:hAnsi="Aptos"/>
        </w:rPr>
        <w:t>, con d</w:t>
      </w:r>
      <w:r w:rsidR="00AD7A51" w:rsidRPr="00DA67F8">
        <w:rPr>
          <w:rFonts w:ascii="Aptos" w:hAnsi="Aptos"/>
        </w:rPr>
        <w:t>omicilio real en</w:t>
      </w:r>
      <w:r w:rsidR="00A64039" w:rsidRPr="00DA67F8">
        <w:rPr>
          <w:rFonts w:ascii="Aptos" w:hAnsi="Aptos"/>
        </w:rPr>
        <w:t xml:space="preserve"> </w:t>
      </w:r>
      <w:r w:rsidR="005067D2">
        <w:rPr>
          <w:rFonts w:ascii="Aptos" w:hAnsi="Aptos"/>
        </w:rPr>
        <w:t>[donde habita]</w:t>
      </w:r>
      <w:r w:rsidR="00A64039" w:rsidRPr="00DA67F8">
        <w:rPr>
          <w:rFonts w:ascii="Aptos" w:hAnsi="Aptos"/>
        </w:rPr>
        <w:t xml:space="preserve">, </w:t>
      </w:r>
      <w:r w:rsidR="008E1F81" w:rsidRPr="00DA67F8">
        <w:rPr>
          <w:rFonts w:ascii="Aptos" w:hAnsi="Aptos" w:cstheme="minorHAnsi"/>
        </w:rPr>
        <w:t xml:space="preserve">con domicilio procesal en </w:t>
      </w:r>
      <w:r w:rsidR="005067D2">
        <w:rPr>
          <w:rFonts w:ascii="Aptos" w:hAnsi="Aptos" w:cstheme="minorHAnsi"/>
        </w:rPr>
        <w:t>[indicar]</w:t>
      </w:r>
      <w:r w:rsidR="008E1F81" w:rsidRPr="00DA67F8">
        <w:rPr>
          <w:rStyle w:val="Refdenotaalpie"/>
          <w:rFonts w:ascii="Aptos" w:hAnsi="Aptos" w:cstheme="minorHAnsi"/>
        </w:rPr>
        <w:footnoteReference w:id="3"/>
      </w:r>
      <w:r w:rsidR="008E1F81" w:rsidRPr="00DA67F8">
        <w:rPr>
          <w:rFonts w:ascii="Aptos" w:hAnsi="Aptos" w:cstheme="minorHAnsi"/>
        </w:rPr>
        <w:t xml:space="preserve">, para el caso de actuaciones procedimentales virtuales </w:t>
      </w:r>
      <w:r w:rsidR="009A14D1" w:rsidRPr="00DA67F8">
        <w:rPr>
          <w:rFonts w:ascii="Aptos" w:hAnsi="Aptos" w:cstheme="minorHAnsi"/>
        </w:rPr>
        <w:t xml:space="preserve">indico </w:t>
      </w:r>
      <w:r w:rsidR="009A14D1" w:rsidRPr="00DA67F8">
        <w:rPr>
          <w:rFonts w:ascii="Aptos" w:hAnsi="Aptos"/>
        </w:rPr>
        <w:t>mi</w:t>
      </w:r>
      <w:r w:rsidR="00A64039" w:rsidRPr="00DA67F8">
        <w:rPr>
          <w:rFonts w:ascii="Aptos" w:hAnsi="Aptos"/>
        </w:rPr>
        <w:t xml:space="preserve"> correo electrónico</w:t>
      </w:r>
      <w:r w:rsidR="009A14D1" w:rsidRPr="00DA67F8">
        <w:rPr>
          <w:rFonts w:ascii="Aptos" w:hAnsi="Aptos"/>
        </w:rPr>
        <w:t xml:space="preserve"> en</w:t>
      </w:r>
      <w:r w:rsidR="005067D2">
        <w:rPr>
          <w:rFonts w:ascii="Aptos" w:hAnsi="Aptos"/>
        </w:rPr>
        <w:t xml:space="preserve"> [indicar e-mail]</w:t>
      </w:r>
      <w:r w:rsidR="00A64039" w:rsidRPr="00DA67F8">
        <w:rPr>
          <w:rFonts w:ascii="Aptos" w:hAnsi="Aptos"/>
        </w:rPr>
        <w:t xml:space="preserve">, con teléfono móvil y WhatsApp </w:t>
      </w:r>
      <w:r w:rsidR="005067D2">
        <w:rPr>
          <w:rFonts w:ascii="Aptos" w:hAnsi="Aptos"/>
        </w:rPr>
        <w:t>Nro. [número]</w:t>
      </w:r>
      <w:r w:rsidR="00A64039" w:rsidRPr="00DA67F8">
        <w:rPr>
          <w:rFonts w:ascii="Aptos" w:hAnsi="Aptos"/>
        </w:rPr>
        <w:t>; a Ud., respetuosamente, digo:</w:t>
      </w:r>
    </w:p>
    <w:p w14:paraId="73DC6F0B" w14:textId="77777777" w:rsidR="006B7D36" w:rsidRPr="00DA67F8" w:rsidRDefault="006B7D36" w:rsidP="0076698B">
      <w:pPr>
        <w:pStyle w:val="Sinespaciado"/>
        <w:jc w:val="both"/>
        <w:rPr>
          <w:rFonts w:ascii="Aptos" w:hAnsi="Aptos" w:cstheme="minorHAnsi"/>
        </w:rPr>
      </w:pPr>
    </w:p>
    <w:p w14:paraId="0A397B9B" w14:textId="783BD220" w:rsidR="006B7D36" w:rsidRPr="00DA67F8" w:rsidRDefault="006B7D36" w:rsidP="0076698B">
      <w:pPr>
        <w:pStyle w:val="Sinespaciado"/>
        <w:jc w:val="both"/>
        <w:rPr>
          <w:rFonts w:ascii="Aptos" w:hAnsi="Aptos" w:cstheme="minorHAnsi"/>
          <w:i/>
        </w:rPr>
      </w:pPr>
      <w:r w:rsidRPr="00DA67F8">
        <w:rPr>
          <w:rFonts w:ascii="Aptos" w:hAnsi="Aptos" w:cstheme="minorHAnsi"/>
        </w:rPr>
        <w:t>El literal d) del artículo 3 del Decreto Supremo 008-2010-PCM – Reglamento del Tribunal del Servicio Civil- indica</w:t>
      </w:r>
      <w:r w:rsidR="00FB0B3E" w:rsidRPr="00DA67F8">
        <w:rPr>
          <w:rFonts w:ascii="Aptos" w:hAnsi="Aptos" w:cstheme="minorHAnsi"/>
        </w:rPr>
        <w:t xml:space="preserve">: </w:t>
      </w:r>
      <w:r w:rsidRPr="00DA67F8">
        <w:rPr>
          <w:rFonts w:ascii="Aptos" w:hAnsi="Aptos" w:cstheme="minorHAnsi"/>
          <w:i/>
        </w:rPr>
        <w:t xml:space="preserve">“El Tribunal es competente para conocer y resolver en última instancia administrativa los recursos de apelación exclusivamente sobre las siguientes materias: </w:t>
      </w:r>
      <w:r w:rsidRPr="00DA67F8">
        <w:rPr>
          <w:rFonts w:ascii="Aptos" w:hAnsi="Aptos" w:cstheme="minorHAnsi"/>
          <w:b/>
          <w:i/>
        </w:rPr>
        <w:t>d) Régimen disciplinario</w:t>
      </w:r>
      <w:r w:rsidRPr="00DA67F8">
        <w:rPr>
          <w:rFonts w:ascii="Aptos" w:hAnsi="Aptos" w:cstheme="minorHAnsi"/>
          <w:i/>
        </w:rPr>
        <w:t>”</w:t>
      </w:r>
    </w:p>
    <w:p w14:paraId="5A47AC85" w14:textId="77777777" w:rsidR="006B7D36" w:rsidRPr="00DA67F8" w:rsidRDefault="006B7D36" w:rsidP="0076698B">
      <w:pPr>
        <w:pStyle w:val="Sinespaciado"/>
        <w:jc w:val="both"/>
        <w:rPr>
          <w:rFonts w:ascii="Aptos" w:hAnsi="Aptos" w:cstheme="minorHAnsi"/>
        </w:rPr>
      </w:pPr>
    </w:p>
    <w:p w14:paraId="0AB24189" w14:textId="0AF2AC1F" w:rsidR="006B7D36" w:rsidRPr="00DA67F8" w:rsidRDefault="006B7D36" w:rsidP="0076698B">
      <w:pPr>
        <w:pStyle w:val="Sinespaciado"/>
        <w:jc w:val="both"/>
        <w:rPr>
          <w:rFonts w:ascii="Aptos" w:hAnsi="Aptos" w:cstheme="minorHAnsi"/>
        </w:rPr>
      </w:pPr>
      <w:r w:rsidRPr="00DA67F8">
        <w:rPr>
          <w:rFonts w:ascii="Aptos" w:hAnsi="Aptos" w:cstheme="minorHAnsi"/>
        </w:rPr>
        <w:t xml:space="preserve">Dentro de este contexto, haciendo uso de mi derecho de contradicción que me habilita a la presentación de recurso </w:t>
      </w:r>
      <w:r w:rsidR="00183446" w:rsidRPr="00DA67F8">
        <w:rPr>
          <w:rFonts w:ascii="Aptos" w:hAnsi="Aptos" w:cstheme="minorHAnsi"/>
        </w:rPr>
        <w:t xml:space="preserve">administrativo </w:t>
      </w:r>
      <w:r w:rsidRPr="00DA67F8">
        <w:rPr>
          <w:rFonts w:ascii="Aptos" w:hAnsi="Aptos" w:cstheme="minorHAnsi"/>
        </w:rPr>
        <w:t>de apelación</w:t>
      </w:r>
      <w:r w:rsidR="00183446" w:rsidRPr="00DA67F8">
        <w:rPr>
          <w:rFonts w:ascii="Aptos" w:hAnsi="Aptos" w:cstheme="minorHAnsi"/>
        </w:rPr>
        <w:t>.</w:t>
      </w:r>
    </w:p>
    <w:p w14:paraId="7388E8BA" w14:textId="77777777" w:rsidR="006B7D36" w:rsidRPr="00DA67F8" w:rsidRDefault="006B7D36" w:rsidP="0076698B">
      <w:pPr>
        <w:pStyle w:val="Sinespaciado"/>
        <w:jc w:val="both"/>
        <w:rPr>
          <w:rFonts w:ascii="Aptos" w:hAnsi="Aptos" w:cstheme="minorHAnsi"/>
        </w:rPr>
      </w:pPr>
    </w:p>
    <w:p w14:paraId="66551E1B" w14:textId="77777777" w:rsidR="006B7D36" w:rsidRPr="00DA67F8" w:rsidRDefault="006B7D36" w:rsidP="0076698B">
      <w:pPr>
        <w:pStyle w:val="Sinespaciado"/>
        <w:jc w:val="both"/>
        <w:rPr>
          <w:rFonts w:ascii="Aptos" w:hAnsi="Aptos" w:cstheme="minorHAnsi"/>
          <w:b/>
        </w:rPr>
      </w:pPr>
      <w:r w:rsidRPr="00DA67F8">
        <w:rPr>
          <w:rFonts w:ascii="Aptos" w:hAnsi="Aptos" w:cstheme="minorHAnsi"/>
          <w:b/>
        </w:rPr>
        <w:t>I. PETITORIO</w:t>
      </w:r>
    </w:p>
    <w:p w14:paraId="6A70D96F" w14:textId="72A07437" w:rsidR="006B7D36" w:rsidRPr="00DA67F8" w:rsidRDefault="006B7D36" w:rsidP="0076698B">
      <w:pPr>
        <w:pStyle w:val="Sinespaciado"/>
        <w:jc w:val="both"/>
        <w:rPr>
          <w:rFonts w:ascii="Aptos" w:hAnsi="Aptos" w:cstheme="minorHAnsi"/>
        </w:rPr>
      </w:pPr>
      <w:r w:rsidRPr="00DA67F8">
        <w:rPr>
          <w:rFonts w:ascii="Aptos" w:hAnsi="Aptos" w:cstheme="minorHAnsi"/>
          <w:b/>
        </w:rPr>
        <w:t xml:space="preserve">Como pretensión </w:t>
      </w:r>
      <w:r w:rsidR="001A1CA3" w:rsidRPr="00DA67F8">
        <w:rPr>
          <w:rFonts w:ascii="Aptos" w:hAnsi="Aptos" w:cstheme="minorHAnsi"/>
          <w:b/>
        </w:rPr>
        <w:t xml:space="preserve">administrativa </w:t>
      </w:r>
      <w:r w:rsidRPr="00DA67F8">
        <w:rPr>
          <w:rFonts w:ascii="Aptos" w:hAnsi="Aptos" w:cstheme="minorHAnsi"/>
          <w:b/>
        </w:rPr>
        <w:t>impugnatoria</w:t>
      </w:r>
      <w:r w:rsidRPr="00DA67F8">
        <w:rPr>
          <w:rFonts w:ascii="Aptos" w:hAnsi="Aptos" w:cstheme="minorHAnsi"/>
        </w:rPr>
        <w:t xml:space="preserve">, interpongo recurso administrativo de apelación para que se declare la </w:t>
      </w:r>
      <w:r w:rsidRPr="00DA67F8">
        <w:rPr>
          <w:rFonts w:ascii="Aptos" w:hAnsi="Aptos" w:cstheme="minorHAnsi"/>
          <w:b/>
          <w:bCs/>
          <w:u w:val="single"/>
        </w:rPr>
        <w:t xml:space="preserve">nulidad </w:t>
      </w:r>
      <w:r w:rsidR="001A0846" w:rsidRPr="00DA67F8">
        <w:rPr>
          <w:rFonts w:ascii="Aptos" w:hAnsi="Aptos" w:cstheme="minorHAnsi"/>
          <w:b/>
          <w:bCs/>
          <w:u w:val="single"/>
        </w:rPr>
        <w:t>total</w:t>
      </w:r>
      <w:r w:rsidR="001A0846" w:rsidRPr="00DA67F8">
        <w:rPr>
          <w:rFonts w:ascii="Aptos" w:hAnsi="Aptos" w:cstheme="minorHAnsi"/>
        </w:rPr>
        <w:t xml:space="preserve"> </w:t>
      </w:r>
      <w:r w:rsidRPr="00DA67F8">
        <w:rPr>
          <w:rFonts w:ascii="Aptos" w:hAnsi="Aptos" w:cstheme="minorHAnsi"/>
        </w:rPr>
        <w:t xml:space="preserve">del acto administrativo contenido en la </w:t>
      </w:r>
      <w:r w:rsidR="002414C0" w:rsidRPr="00DA67F8">
        <w:rPr>
          <w:rFonts w:ascii="Aptos" w:hAnsi="Aptos" w:cstheme="minorHAnsi"/>
          <w:b/>
          <w:u w:val="single"/>
        </w:rPr>
        <w:t xml:space="preserve">Resolución </w:t>
      </w:r>
      <w:r w:rsidR="005067D2">
        <w:rPr>
          <w:rFonts w:ascii="Aptos" w:hAnsi="Aptos" w:cstheme="minorHAnsi"/>
          <w:b/>
          <w:u w:val="single"/>
        </w:rPr>
        <w:t>[identificar la resolución]</w:t>
      </w:r>
      <w:r w:rsidR="002414C0" w:rsidRPr="00DA67F8">
        <w:rPr>
          <w:rFonts w:ascii="Aptos" w:hAnsi="Aptos" w:cstheme="minorHAnsi"/>
          <w:b/>
        </w:rPr>
        <w:t xml:space="preserve"> que declarando improcedente mi recurso de reconsideración confirma la Resolución </w:t>
      </w:r>
      <w:r w:rsidR="005067D2">
        <w:rPr>
          <w:rFonts w:ascii="Aptos" w:hAnsi="Aptos" w:cstheme="minorHAnsi"/>
          <w:b/>
        </w:rPr>
        <w:t>[i</w:t>
      </w:r>
      <w:r w:rsidR="00A53CC4">
        <w:rPr>
          <w:rFonts w:ascii="Aptos" w:hAnsi="Aptos" w:cstheme="minorHAnsi"/>
          <w:b/>
        </w:rPr>
        <w:t>dentificar la resolución]</w:t>
      </w:r>
      <w:r w:rsidR="002414C0" w:rsidRPr="00DA67F8">
        <w:rPr>
          <w:rFonts w:ascii="Aptos" w:hAnsi="Aptos" w:cstheme="minorHAnsi"/>
          <w:b/>
        </w:rPr>
        <w:t xml:space="preserve"> que me impone sanción de </w:t>
      </w:r>
      <w:r w:rsidR="002414C0" w:rsidRPr="00DA67F8">
        <w:rPr>
          <w:rFonts w:ascii="Aptos" w:hAnsi="Aptos" w:cstheme="minorHAnsi"/>
          <w:b/>
          <w:u w:val="single"/>
        </w:rPr>
        <w:t>destitución</w:t>
      </w:r>
      <w:r w:rsidR="002414C0" w:rsidRPr="00DA67F8">
        <w:rPr>
          <w:rFonts w:ascii="Aptos" w:hAnsi="Aptos" w:cstheme="minorHAnsi"/>
          <w:b/>
        </w:rPr>
        <w:t xml:space="preserve"> </w:t>
      </w:r>
      <w:r w:rsidRPr="00DA67F8">
        <w:rPr>
          <w:rFonts w:ascii="Aptos" w:hAnsi="Aptos" w:cstheme="minorHAnsi"/>
        </w:rPr>
        <w:t>por contravenir la Constitución, la ley y las normas indicadas en los fundamentos del presente recurso</w:t>
      </w:r>
      <w:r w:rsidRPr="00DA67F8">
        <w:rPr>
          <w:rStyle w:val="Refdenotaalpie"/>
          <w:rFonts w:ascii="Aptos" w:hAnsi="Aptos" w:cstheme="minorHAnsi"/>
        </w:rPr>
        <w:footnoteReference w:id="4"/>
      </w:r>
      <w:r w:rsidRPr="00DA67F8">
        <w:rPr>
          <w:rFonts w:ascii="Aptos" w:hAnsi="Aptos" w:cstheme="minorHAnsi"/>
        </w:rPr>
        <w:t>; y, como consecuencia:</w:t>
      </w:r>
    </w:p>
    <w:p w14:paraId="0652592F" w14:textId="77777777" w:rsidR="006B7D36" w:rsidRPr="00DA67F8" w:rsidRDefault="006B7D36" w:rsidP="0076698B">
      <w:pPr>
        <w:pStyle w:val="Sinespaciado"/>
        <w:jc w:val="both"/>
        <w:rPr>
          <w:rFonts w:ascii="Aptos" w:hAnsi="Aptos" w:cstheme="minorHAnsi"/>
        </w:rPr>
      </w:pPr>
    </w:p>
    <w:p w14:paraId="6934F7FC" w14:textId="4CE15D34" w:rsidR="001C0AED" w:rsidRPr="00DA67F8" w:rsidRDefault="001C0AED" w:rsidP="0076698B">
      <w:pPr>
        <w:pStyle w:val="Sinespaciado"/>
        <w:ind w:left="708"/>
        <w:jc w:val="both"/>
        <w:rPr>
          <w:rFonts w:ascii="Aptos" w:hAnsi="Aptos"/>
        </w:rPr>
      </w:pPr>
      <w:r w:rsidRPr="00DA67F8">
        <w:rPr>
          <w:rFonts w:ascii="Aptos" w:hAnsi="Aptos" w:cstheme="minorHAnsi"/>
          <w:b/>
          <w:bCs/>
        </w:rPr>
        <w:t>Como primera pretensión accesoria</w:t>
      </w:r>
      <w:r w:rsidRPr="00DA67F8">
        <w:rPr>
          <w:rFonts w:ascii="Aptos" w:hAnsi="Aptos" w:cstheme="minorHAnsi"/>
        </w:rPr>
        <w:t xml:space="preserve">, </w:t>
      </w:r>
      <w:r w:rsidR="00A74066" w:rsidRPr="00DA67F8">
        <w:rPr>
          <w:rFonts w:ascii="Aptos" w:hAnsi="Aptos" w:cstheme="minorHAnsi"/>
        </w:rPr>
        <w:t xml:space="preserve">solicito se declare la </w:t>
      </w:r>
      <w:r w:rsidR="00A74066" w:rsidRPr="00DA67F8">
        <w:rPr>
          <w:rFonts w:ascii="Aptos" w:hAnsi="Aptos" w:cstheme="minorHAnsi"/>
          <w:b/>
          <w:bCs/>
          <w:u w:val="single"/>
        </w:rPr>
        <w:t xml:space="preserve">nulidad </w:t>
      </w:r>
      <w:r w:rsidR="001A0846" w:rsidRPr="00DA67F8">
        <w:rPr>
          <w:rFonts w:ascii="Aptos" w:hAnsi="Aptos" w:cstheme="minorHAnsi"/>
          <w:b/>
          <w:bCs/>
          <w:u w:val="single"/>
        </w:rPr>
        <w:t>total</w:t>
      </w:r>
      <w:r w:rsidR="00A74066" w:rsidRPr="00DA67F8">
        <w:rPr>
          <w:rFonts w:ascii="Aptos" w:hAnsi="Aptos" w:cstheme="minorHAnsi"/>
        </w:rPr>
        <w:t xml:space="preserve"> del acto administrativo contenido en la</w:t>
      </w:r>
      <w:r w:rsidR="008B3BC4" w:rsidRPr="00DA67F8">
        <w:rPr>
          <w:rFonts w:ascii="Aptos" w:hAnsi="Aptos"/>
        </w:rPr>
        <w:t xml:space="preserve"> </w:t>
      </w:r>
      <w:r w:rsidR="008B3BC4" w:rsidRPr="00DA67F8">
        <w:rPr>
          <w:rFonts w:ascii="Aptos" w:hAnsi="Aptos"/>
          <w:b/>
          <w:bCs/>
          <w:u w:val="single"/>
        </w:rPr>
        <w:t>Resolución</w:t>
      </w:r>
      <w:r w:rsidR="00A53CC4">
        <w:rPr>
          <w:rFonts w:ascii="Aptos" w:hAnsi="Aptos"/>
          <w:b/>
          <w:bCs/>
          <w:u w:val="single"/>
        </w:rPr>
        <w:t xml:space="preserve"> [identificar la resolución]</w:t>
      </w:r>
      <w:r w:rsidR="008B3BC4" w:rsidRPr="00DA67F8">
        <w:rPr>
          <w:rFonts w:ascii="Aptos" w:hAnsi="Aptos"/>
          <w:b/>
          <w:bCs/>
          <w:u w:val="single"/>
        </w:rPr>
        <w:t xml:space="preserve"> por el que se me impone sanción de destitución</w:t>
      </w:r>
      <w:r w:rsidR="00E36719" w:rsidRPr="00DA67F8">
        <w:rPr>
          <w:rFonts w:ascii="Aptos" w:hAnsi="Aptos"/>
          <w:b/>
          <w:bCs/>
        </w:rPr>
        <w:t xml:space="preserve"> </w:t>
      </w:r>
      <w:r w:rsidR="00E36719" w:rsidRPr="00DA67F8">
        <w:rPr>
          <w:rFonts w:ascii="Aptos" w:hAnsi="Aptos" w:cstheme="minorHAnsi"/>
        </w:rPr>
        <w:t>por contravenir la Constitución, la ley y las normas indicadas en los fundamentos del presente recurso</w:t>
      </w:r>
      <w:r w:rsidR="00E36719" w:rsidRPr="00DA67F8">
        <w:rPr>
          <w:rFonts w:ascii="Aptos" w:hAnsi="Aptos"/>
        </w:rPr>
        <w:t>.</w:t>
      </w:r>
    </w:p>
    <w:p w14:paraId="355FC64C" w14:textId="77777777" w:rsidR="00E36719" w:rsidRPr="00DA67F8" w:rsidRDefault="00E36719" w:rsidP="0076698B">
      <w:pPr>
        <w:pStyle w:val="Sinespaciado"/>
        <w:ind w:left="708"/>
        <w:jc w:val="both"/>
        <w:rPr>
          <w:rFonts w:ascii="Aptos" w:hAnsi="Aptos" w:cstheme="minorHAnsi"/>
        </w:rPr>
      </w:pPr>
    </w:p>
    <w:p w14:paraId="20341C18" w14:textId="20FA691E" w:rsidR="006B7D36" w:rsidRPr="00DA67F8" w:rsidRDefault="006B7D36" w:rsidP="0076698B">
      <w:pPr>
        <w:pStyle w:val="Sinespaciado"/>
        <w:ind w:left="708"/>
        <w:jc w:val="both"/>
        <w:rPr>
          <w:rFonts w:ascii="Aptos" w:hAnsi="Aptos" w:cstheme="minorHAnsi"/>
        </w:rPr>
      </w:pPr>
      <w:r w:rsidRPr="00DA67F8">
        <w:rPr>
          <w:rFonts w:ascii="Aptos" w:hAnsi="Aptos" w:cstheme="minorHAnsi"/>
          <w:b/>
          <w:bCs/>
        </w:rPr>
        <w:t xml:space="preserve">Como </w:t>
      </w:r>
      <w:r w:rsidR="00E36719" w:rsidRPr="00DA67F8">
        <w:rPr>
          <w:rFonts w:ascii="Aptos" w:hAnsi="Aptos" w:cstheme="minorHAnsi"/>
          <w:b/>
          <w:bCs/>
        </w:rPr>
        <w:t xml:space="preserve">segunda </w:t>
      </w:r>
      <w:r w:rsidRPr="00DA67F8">
        <w:rPr>
          <w:rFonts w:ascii="Aptos" w:hAnsi="Aptos" w:cstheme="minorHAnsi"/>
          <w:b/>
          <w:bCs/>
        </w:rPr>
        <w:t>pretensión accesoria</w:t>
      </w:r>
      <w:r w:rsidRPr="00DA67F8">
        <w:rPr>
          <w:rFonts w:ascii="Aptos" w:hAnsi="Aptos" w:cstheme="minorHAnsi"/>
        </w:rPr>
        <w:t xml:space="preserve">, </w:t>
      </w:r>
      <w:r w:rsidR="00FB3D91" w:rsidRPr="00DA67F8">
        <w:rPr>
          <w:rFonts w:ascii="Aptos" w:hAnsi="Aptos" w:cstheme="minorHAnsi"/>
        </w:rPr>
        <w:t xml:space="preserve">estando al </w:t>
      </w:r>
      <w:r w:rsidR="00FB3D91" w:rsidRPr="00DA67F8">
        <w:rPr>
          <w:rFonts w:ascii="Aptos" w:hAnsi="Aptos" w:cstheme="minorHAnsi"/>
          <w:b/>
          <w:bCs/>
          <w:u w:val="single"/>
        </w:rPr>
        <w:t>efecto retroactivo</w:t>
      </w:r>
      <w:r w:rsidR="00362E3A" w:rsidRPr="00DA67F8">
        <w:rPr>
          <w:rStyle w:val="Refdenotaalpie"/>
          <w:rFonts w:ascii="Aptos" w:hAnsi="Aptos" w:cstheme="minorHAnsi"/>
          <w:b/>
          <w:bCs/>
          <w:u w:val="single"/>
        </w:rPr>
        <w:footnoteReference w:id="5"/>
      </w:r>
      <w:r w:rsidR="00FB3D91" w:rsidRPr="00DA67F8">
        <w:rPr>
          <w:rFonts w:ascii="Aptos" w:hAnsi="Aptos" w:cstheme="minorHAnsi"/>
        </w:rPr>
        <w:t xml:space="preserve"> de la</w:t>
      </w:r>
      <w:r w:rsidR="00E36719" w:rsidRPr="00DA67F8">
        <w:rPr>
          <w:rFonts w:ascii="Aptos" w:hAnsi="Aptos" w:cstheme="minorHAnsi"/>
        </w:rPr>
        <w:t>s</w:t>
      </w:r>
      <w:r w:rsidR="00FB3D91" w:rsidRPr="00DA67F8">
        <w:rPr>
          <w:rFonts w:ascii="Aptos" w:hAnsi="Aptos" w:cstheme="minorHAnsi"/>
        </w:rPr>
        <w:t xml:space="preserve"> nulidad</w:t>
      </w:r>
      <w:r w:rsidR="00E36719" w:rsidRPr="00DA67F8">
        <w:rPr>
          <w:rFonts w:ascii="Aptos" w:hAnsi="Aptos" w:cstheme="minorHAnsi"/>
        </w:rPr>
        <w:t>es</w:t>
      </w:r>
      <w:r w:rsidR="00823697" w:rsidRPr="00DA67F8">
        <w:rPr>
          <w:rFonts w:ascii="Aptos" w:hAnsi="Aptos" w:cstheme="minorHAnsi"/>
        </w:rPr>
        <w:t xml:space="preserve"> solicitada</w:t>
      </w:r>
      <w:r w:rsidR="00E36719" w:rsidRPr="00DA67F8">
        <w:rPr>
          <w:rFonts w:ascii="Aptos" w:hAnsi="Aptos" w:cstheme="minorHAnsi"/>
        </w:rPr>
        <w:t>s</w:t>
      </w:r>
      <w:r w:rsidR="00823697" w:rsidRPr="00DA67F8">
        <w:rPr>
          <w:rFonts w:ascii="Aptos" w:hAnsi="Aptos" w:cstheme="minorHAnsi"/>
        </w:rPr>
        <w:t xml:space="preserve">, </w:t>
      </w:r>
      <w:r w:rsidRPr="00DA67F8">
        <w:rPr>
          <w:rFonts w:ascii="Aptos" w:hAnsi="Aptos" w:cstheme="minorHAnsi"/>
        </w:rPr>
        <w:t xml:space="preserve">solicito se </w:t>
      </w:r>
      <w:r w:rsidR="00823697" w:rsidRPr="00DA67F8">
        <w:rPr>
          <w:rFonts w:ascii="Aptos" w:hAnsi="Aptos" w:cstheme="minorHAnsi"/>
        </w:rPr>
        <w:t xml:space="preserve">inaplique la sanción </w:t>
      </w:r>
      <w:r w:rsidR="00E36719" w:rsidRPr="00DA67F8">
        <w:rPr>
          <w:rFonts w:ascii="Aptos" w:hAnsi="Aptos" w:cstheme="minorHAnsi"/>
        </w:rPr>
        <w:t xml:space="preserve">de destitución </w:t>
      </w:r>
      <w:r w:rsidR="00823697" w:rsidRPr="00DA67F8">
        <w:rPr>
          <w:rFonts w:ascii="Aptos" w:hAnsi="Aptos" w:cstheme="minorHAnsi"/>
        </w:rPr>
        <w:t>impuesta al recurrente</w:t>
      </w:r>
      <w:r w:rsidR="001B03B1" w:rsidRPr="00DA67F8">
        <w:rPr>
          <w:rFonts w:ascii="Aptos" w:hAnsi="Aptos" w:cstheme="minorHAnsi"/>
        </w:rPr>
        <w:t xml:space="preserve">, </w:t>
      </w:r>
      <w:r w:rsidRPr="00DA67F8">
        <w:rPr>
          <w:rFonts w:ascii="Aptos" w:hAnsi="Aptos" w:cstheme="minorHAnsi"/>
          <w:b/>
          <w:bCs/>
        </w:rPr>
        <w:t>dispon</w:t>
      </w:r>
      <w:r w:rsidR="001B03B1" w:rsidRPr="00DA67F8">
        <w:rPr>
          <w:rFonts w:ascii="Aptos" w:hAnsi="Aptos" w:cstheme="minorHAnsi"/>
          <w:b/>
          <w:bCs/>
        </w:rPr>
        <w:t xml:space="preserve">iendo </w:t>
      </w:r>
      <w:r w:rsidR="00D03BF0" w:rsidRPr="00DA67F8">
        <w:rPr>
          <w:rFonts w:ascii="Aptos" w:hAnsi="Aptos" w:cstheme="minorHAnsi"/>
          <w:b/>
          <w:bCs/>
        </w:rPr>
        <w:t xml:space="preserve">la reposición </w:t>
      </w:r>
      <w:r w:rsidR="0029446D" w:rsidRPr="00DA67F8">
        <w:rPr>
          <w:rFonts w:ascii="Aptos" w:hAnsi="Aptos" w:cstheme="minorHAnsi"/>
          <w:b/>
          <w:bCs/>
        </w:rPr>
        <w:t xml:space="preserve">del recurrente </w:t>
      </w:r>
      <w:r w:rsidR="00D03BF0" w:rsidRPr="00DA67F8">
        <w:rPr>
          <w:rFonts w:ascii="Aptos" w:hAnsi="Aptos" w:cstheme="minorHAnsi"/>
          <w:b/>
          <w:bCs/>
        </w:rPr>
        <w:t>en el</w:t>
      </w:r>
      <w:r w:rsidR="001B03B1" w:rsidRPr="00DA67F8">
        <w:rPr>
          <w:rFonts w:ascii="Aptos" w:hAnsi="Aptos" w:cstheme="minorHAnsi"/>
          <w:b/>
          <w:bCs/>
        </w:rPr>
        <w:t xml:space="preserve"> cargo público </w:t>
      </w:r>
      <w:r w:rsidR="00D03BF0" w:rsidRPr="00DA67F8">
        <w:rPr>
          <w:rFonts w:ascii="Aptos" w:hAnsi="Aptos" w:cstheme="minorHAnsi"/>
          <w:b/>
          <w:bCs/>
        </w:rPr>
        <w:t xml:space="preserve">de </w:t>
      </w:r>
      <w:r w:rsidR="0091661E">
        <w:rPr>
          <w:rFonts w:ascii="Aptos" w:hAnsi="Aptos"/>
          <w:b/>
          <w:bCs/>
          <w:u w:val="single"/>
        </w:rPr>
        <w:t>[indicar el cargo que ocupaba antes de la destitución]</w:t>
      </w:r>
      <w:r w:rsidRPr="00DA67F8">
        <w:rPr>
          <w:rFonts w:ascii="Aptos" w:hAnsi="Aptos" w:cstheme="minorHAnsi"/>
        </w:rPr>
        <w:t xml:space="preserve">, </w:t>
      </w:r>
      <w:r w:rsidRPr="00DA67F8">
        <w:rPr>
          <w:rFonts w:ascii="Aptos" w:hAnsi="Aptos" w:cstheme="minorHAnsi"/>
          <w:b/>
          <w:bCs/>
          <w:u w:val="single"/>
        </w:rPr>
        <w:t>más costos del procedimiento</w:t>
      </w:r>
      <w:r w:rsidR="00EF58BF" w:rsidRPr="00DA67F8">
        <w:rPr>
          <w:rFonts w:ascii="Aptos" w:hAnsi="Aptos" w:cstheme="minorHAnsi"/>
          <w:b/>
          <w:bCs/>
          <w:u w:val="single"/>
        </w:rPr>
        <w:t xml:space="preserve"> administrativo disciplinario</w:t>
      </w:r>
      <w:r w:rsidRPr="00DA67F8">
        <w:rPr>
          <w:rFonts w:ascii="Aptos" w:hAnsi="Aptos" w:cstheme="minorHAnsi"/>
        </w:rPr>
        <w:t>.</w:t>
      </w:r>
    </w:p>
    <w:p w14:paraId="0A268B28" w14:textId="77777777" w:rsidR="006B7D36" w:rsidRPr="00DA67F8" w:rsidRDefault="006B7D36" w:rsidP="0076698B">
      <w:pPr>
        <w:pStyle w:val="Sinespaciado"/>
        <w:jc w:val="both"/>
        <w:rPr>
          <w:rFonts w:ascii="Aptos" w:hAnsi="Aptos" w:cstheme="minorHAnsi"/>
          <w:b/>
        </w:rPr>
      </w:pPr>
    </w:p>
    <w:p w14:paraId="03B5271F" w14:textId="77777777" w:rsidR="006B7D36" w:rsidRPr="00DA67F8" w:rsidRDefault="006B7D36" w:rsidP="0076698B">
      <w:pPr>
        <w:pStyle w:val="Sinespaciado"/>
        <w:jc w:val="both"/>
        <w:rPr>
          <w:rFonts w:ascii="Aptos" w:hAnsi="Aptos" w:cstheme="minorHAnsi"/>
          <w:b/>
        </w:rPr>
      </w:pPr>
      <w:r w:rsidRPr="00DA67F8">
        <w:rPr>
          <w:rFonts w:ascii="Aptos" w:hAnsi="Aptos" w:cstheme="minorHAnsi"/>
          <w:b/>
        </w:rPr>
        <w:t>II. ACTUACIÓN IMPUGNABLE</w:t>
      </w:r>
    </w:p>
    <w:p w14:paraId="4275E7E0" w14:textId="51249234" w:rsidR="006B7D36" w:rsidRPr="00DA67F8" w:rsidRDefault="006B7D36" w:rsidP="0076698B">
      <w:pPr>
        <w:pStyle w:val="Sinespaciado"/>
        <w:jc w:val="both"/>
        <w:rPr>
          <w:rFonts w:ascii="Aptos" w:hAnsi="Aptos" w:cstheme="minorHAnsi"/>
          <w:b/>
          <w:u w:val="single"/>
        </w:rPr>
      </w:pPr>
      <w:r w:rsidRPr="00DA67F8">
        <w:rPr>
          <w:rFonts w:ascii="Aptos" w:hAnsi="Aptos" w:cstheme="minorHAnsi"/>
          <w:bCs/>
        </w:rPr>
        <w:t xml:space="preserve">Se impugna </w:t>
      </w:r>
      <w:r w:rsidR="00EF58BF" w:rsidRPr="00DA67F8">
        <w:rPr>
          <w:rFonts w:ascii="Aptos" w:hAnsi="Aptos" w:cstheme="minorHAnsi"/>
          <w:bCs/>
        </w:rPr>
        <w:t xml:space="preserve">el acto administrativo contenido en </w:t>
      </w:r>
      <w:r w:rsidRPr="00DA67F8">
        <w:rPr>
          <w:rFonts w:ascii="Aptos" w:hAnsi="Aptos" w:cstheme="minorHAnsi"/>
          <w:bCs/>
        </w:rPr>
        <w:t xml:space="preserve">la </w:t>
      </w:r>
      <w:r w:rsidR="00EF58BF" w:rsidRPr="00DA67F8">
        <w:rPr>
          <w:rFonts w:ascii="Aptos" w:hAnsi="Aptos" w:cstheme="minorHAnsi"/>
          <w:b/>
        </w:rPr>
        <w:t xml:space="preserve">Resolución </w:t>
      </w:r>
      <w:r w:rsidR="0091661E">
        <w:rPr>
          <w:rFonts w:ascii="Aptos" w:hAnsi="Aptos"/>
          <w:b/>
          <w:bCs/>
          <w:u w:val="single"/>
        </w:rPr>
        <w:t>[identificar la resolución]</w:t>
      </w:r>
      <w:r w:rsidR="00790D53" w:rsidRPr="00DA67F8">
        <w:rPr>
          <w:rFonts w:ascii="Aptos" w:hAnsi="Aptos" w:cstheme="minorHAnsi"/>
          <w:b/>
        </w:rPr>
        <w:t xml:space="preserve"> </w:t>
      </w:r>
      <w:r w:rsidR="00FB0B3E" w:rsidRPr="00DA67F8">
        <w:rPr>
          <w:rFonts w:ascii="Aptos" w:hAnsi="Aptos" w:cstheme="minorHAnsi"/>
          <w:b/>
        </w:rPr>
        <w:t xml:space="preserve">que declarando improcedente mi recurso de reconsideración confirma la Resolución </w:t>
      </w:r>
      <w:r w:rsidR="0091661E">
        <w:rPr>
          <w:rFonts w:ascii="Aptos" w:hAnsi="Aptos"/>
          <w:b/>
          <w:bCs/>
          <w:u w:val="single"/>
        </w:rPr>
        <w:t>[identificar la resolución]</w:t>
      </w:r>
      <w:r w:rsidR="00FB0B3E" w:rsidRPr="00DA67F8">
        <w:rPr>
          <w:rFonts w:ascii="Aptos" w:hAnsi="Aptos" w:cstheme="minorHAnsi"/>
          <w:b/>
        </w:rPr>
        <w:t xml:space="preserve"> que me impone sanción de </w:t>
      </w:r>
      <w:r w:rsidR="00FB0B3E" w:rsidRPr="00DA67F8">
        <w:rPr>
          <w:rFonts w:ascii="Aptos" w:hAnsi="Aptos" w:cstheme="minorHAnsi"/>
          <w:b/>
          <w:u w:val="single"/>
        </w:rPr>
        <w:t>destitución</w:t>
      </w:r>
      <w:r w:rsidR="00790D53" w:rsidRPr="00DA67F8">
        <w:rPr>
          <w:rFonts w:ascii="Aptos" w:hAnsi="Aptos" w:cstheme="minorHAnsi"/>
          <w:b/>
          <w:u w:val="single"/>
        </w:rPr>
        <w:t>.</w:t>
      </w:r>
    </w:p>
    <w:p w14:paraId="508B48AB" w14:textId="77777777" w:rsidR="00790D53" w:rsidRPr="00DA67F8" w:rsidRDefault="00790D53" w:rsidP="0076698B">
      <w:pPr>
        <w:pStyle w:val="Sinespaciado"/>
        <w:jc w:val="both"/>
        <w:rPr>
          <w:rFonts w:ascii="Aptos" w:hAnsi="Aptos" w:cstheme="minorHAnsi"/>
        </w:rPr>
      </w:pPr>
    </w:p>
    <w:p w14:paraId="404D65E0" w14:textId="77777777" w:rsidR="006B7D36" w:rsidRPr="00DA67F8" w:rsidRDefault="006B7D36" w:rsidP="0076698B">
      <w:pPr>
        <w:pStyle w:val="Sinespaciado"/>
        <w:jc w:val="both"/>
        <w:rPr>
          <w:rFonts w:ascii="Aptos" w:hAnsi="Aptos" w:cstheme="minorHAnsi"/>
          <w:b/>
        </w:rPr>
      </w:pPr>
      <w:r w:rsidRPr="00DA67F8">
        <w:rPr>
          <w:rFonts w:ascii="Aptos" w:hAnsi="Aptos" w:cstheme="minorHAnsi"/>
          <w:b/>
        </w:rPr>
        <w:t>III. PLAZO PARA LA INTERPOSICIÓN DEL RECURSO DE APELACIÓN</w:t>
      </w:r>
    </w:p>
    <w:p w14:paraId="744A129F" w14:textId="30EA76D6" w:rsidR="006B7D36" w:rsidRPr="00DA67F8" w:rsidRDefault="006B7D36" w:rsidP="0076698B">
      <w:pPr>
        <w:pStyle w:val="Sinespaciado"/>
        <w:jc w:val="both"/>
        <w:rPr>
          <w:rFonts w:ascii="Aptos" w:hAnsi="Aptos" w:cstheme="minorHAnsi"/>
        </w:rPr>
      </w:pPr>
      <w:r w:rsidRPr="00DA67F8">
        <w:rPr>
          <w:rFonts w:ascii="Aptos" w:hAnsi="Aptos" w:cstheme="minorHAnsi"/>
        </w:rPr>
        <w:t xml:space="preserve">El artículo 17 del Decreto Supremo 008-2010-PCM establece que </w:t>
      </w:r>
      <w:r w:rsidRPr="00DA67F8">
        <w:rPr>
          <w:rFonts w:ascii="Aptos" w:hAnsi="Aptos" w:cstheme="minorHAnsi"/>
          <w:i/>
        </w:rPr>
        <w:t>“El recurso de apelación deberá interponerse dentro de los quince (15) días siguientes de haber sido notificado el acto que se desea impugnar.”</w:t>
      </w:r>
      <w:r w:rsidRPr="00DA67F8">
        <w:rPr>
          <w:rFonts w:ascii="Aptos" w:hAnsi="Aptos" w:cstheme="minorHAnsi"/>
        </w:rPr>
        <w:t xml:space="preserve"> En el presente caso, la </w:t>
      </w:r>
      <w:r w:rsidR="00EF58BF" w:rsidRPr="00DA67F8">
        <w:rPr>
          <w:rFonts w:ascii="Aptos" w:hAnsi="Aptos" w:cstheme="minorHAnsi"/>
          <w:b/>
        </w:rPr>
        <w:t xml:space="preserve">Resolución </w:t>
      </w:r>
      <w:r w:rsidR="0091661E">
        <w:rPr>
          <w:rFonts w:ascii="Aptos" w:hAnsi="Aptos"/>
          <w:b/>
          <w:bCs/>
          <w:u w:val="single"/>
        </w:rPr>
        <w:t>[identificar la resolución]</w:t>
      </w:r>
      <w:r w:rsidRPr="00DA67F8">
        <w:rPr>
          <w:rFonts w:ascii="Aptos" w:hAnsi="Aptos" w:cstheme="minorHAnsi"/>
        </w:rPr>
        <w:t xml:space="preserve"> me fue </w:t>
      </w:r>
      <w:r w:rsidRPr="00DA67F8">
        <w:rPr>
          <w:rFonts w:ascii="Aptos" w:hAnsi="Aptos" w:cstheme="minorHAnsi"/>
          <w:b/>
          <w:bCs/>
          <w:u w:val="single"/>
        </w:rPr>
        <w:t xml:space="preserve">notificada el </w:t>
      </w:r>
      <w:r w:rsidR="0091661E">
        <w:rPr>
          <w:rFonts w:ascii="Aptos" w:hAnsi="Aptos" w:cstheme="minorHAnsi"/>
          <w:b/>
          <w:bCs/>
          <w:u w:val="single"/>
        </w:rPr>
        <w:t>[fecha]</w:t>
      </w:r>
      <w:r w:rsidRPr="00DA67F8">
        <w:rPr>
          <w:rFonts w:ascii="Aptos" w:hAnsi="Aptos" w:cstheme="minorHAnsi"/>
        </w:rPr>
        <w:t xml:space="preserve">, por lo que me encuentro dentro del plazo legal de quince (15) días hábiles para interponer el presente recurso, que </w:t>
      </w:r>
      <w:r w:rsidRPr="00DA67F8">
        <w:rPr>
          <w:rFonts w:ascii="Aptos" w:hAnsi="Aptos" w:cstheme="minorHAnsi"/>
          <w:b/>
          <w:bCs/>
          <w:u w:val="single"/>
        </w:rPr>
        <w:t xml:space="preserve">vence el </w:t>
      </w:r>
      <w:r w:rsidR="0091661E">
        <w:rPr>
          <w:rFonts w:ascii="Aptos" w:hAnsi="Aptos" w:cstheme="minorHAnsi"/>
          <w:b/>
          <w:bCs/>
          <w:u w:val="single"/>
        </w:rPr>
        <w:t>[fecha]</w:t>
      </w:r>
      <w:r w:rsidRPr="00DA67F8">
        <w:rPr>
          <w:rFonts w:ascii="Aptos" w:hAnsi="Aptos" w:cstheme="minorHAnsi"/>
          <w:b/>
          <w:bCs/>
          <w:u w:val="single"/>
        </w:rPr>
        <w:t>, sin contar sábados, domingos, feriados y días no laborables</w:t>
      </w:r>
      <w:r w:rsidRPr="00DA67F8">
        <w:rPr>
          <w:rFonts w:ascii="Aptos" w:hAnsi="Aptos" w:cstheme="minorHAnsi"/>
        </w:rPr>
        <w:t>.</w:t>
      </w:r>
    </w:p>
    <w:p w14:paraId="58B94C34" w14:textId="77777777" w:rsidR="006B7D36" w:rsidRPr="00DA67F8" w:rsidRDefault="006B7D36" w:rsidP="0076698B">
      <w:pPr>
        <w:pStyle w:val="Sinespaciado"/>
        <w:jc w:val="both"/>
        <w:rPr>
          <w:rFonts w:ascii="Aptos" w:hAnsi="Aptos" w:cstheme="minorHAnsi"/>
        </w:rPr>
      </w:pPr>
    </w:p>
    <w:p w14:paraId="57AD5D34" w14:textId="77777777" w:rsidR="006B7D36" w:rsidRPr="00DA67F8" w:rsidRDefault="006B7D36" w:rsidP="0076698B">
      <w:pPr>
        <w:pStyle w:val="Sinespaciado"/>
        <w:jc w:val="both"/>
        <w:rPr>
          <w:rFonts w:ascii="Aptos" w:hAnsi="Aptos" w:cstheme="minorHAnsi"/>
        </w:rPr>
      </w:pPr>
      <w:r w:rsidRPr="00DA67F8">
        <w:rPr>
          <w:rFonts w:ascii="Aptos" w:hAnsi="Aptos" w:cstheme="minorHAnsi"/>
          <w:b/>
        </w:rPr>
        <w:t>IV. FUNDAMENTOS DE HECHO Y DE DERECHO QUE SUSTENTAN EL PETITORIO</w:t>
      </w:r>
      <w:r w:rsidRPr="00DA67F8">
        <w:rPr>
          <w:rStyle w:val="Refdenotaalpie"/>
          <w:rFonts w:ascii="Aptos" w:hAnsi="Aptos" w:cstheme="minorHAnsi"/>
        </w:rPr>
        <w:footnoteReference w:id="6"/>
      </w:r>
    </w:p>
    <w:p w14:paraId="2FE7522C" w14:textId="77777777" w:rsidR="0091661E" w:rsidRDefault="0091661E" w:rsidP="0076698B">
      <w:pPr>
        <w:spacing w:line="240" w:lineRule="auto"/>
        <w:jc w:val="center"/>
        <w:rPr>
          <w:rFonts w:ascii="Aptos" w:hAnsi="Aptos" w:cstheme="minorHAnsi"/>
          <w:b/>
        </w:rPr>
      </w:pPr>
      <w:bookmarkStart w:id="0" w:name="_Hlk166357262"/>
      <w:bookmarkEnd w:id="0"/>
    </w:p>
    <w:p w14:paraId="4598DBA7" w14:textId="66CFB7F3" w:rsidR="00017D41" w:rsidRPr="00DA67F8" w:rsidRDefault="00895F79" w:rsidP="0076698B">
      <w:pPr>
        <w:spacing w:line="240" w:lineRule="auto"/>
        <w:jc w:val="center"/>
        <w:rPr>
          <w:rFonts w:ascii="Aptos" w:hAnsi="Aptos" w:cstheme="minorHAnsi"/>
          <w:b/>
        </w:rPr>
      </w:pPr>
      <w:r w:rsidRPr="00DA67F8">
        <w:rPr>
          <w:rFonts w:ascii="Aptos" w:hAnsi="Aptos" w:cstheme="minorHAnsi"/>
          <w:b/>
        </w:rPr>
        <w:t xml:space="preserve">De la nulidad de la </w:t>
      </w:r>
      <w:r w:rsidR="006B002F" w:rsidRPr="00DA67F8">
        <w:rPr>
          <w:rFonts w:ascii="Aptos" w:hAnsi="Aptos" w:cstheme="minorHAnsi"/>
          <w:b/>
        </w:rPr>
        <w:t xml:space="preserve">Resolución </w:t>
      </w:r>
      <w:r w:rsidR="0091661E">
        <w:rPr>
          <w:rFonts w:ascii="Aptos" w:hAnsi="Aptos"/>
          <w:b/>
          <w:bCs/>
          <w:u w:val="single"/>
        </w:rPr>
        <w:t>[identificar la resolución]</w:t>
      </w:r>
    </w:p>
    <w:p w14:paraId="6D585BC0" w14:textId="087416A2" w:rsidR="00A7039F" w:rsidRPr="00DA67F8" w:rsidRDefault="00A7039F" w:rsidP="0076698B">
      <w:pPr>
        <w:spacing w:line="240" w:lineRule="auto"/>
        <w:jc w:val="both"/>
        <w:rPr>
          <w:rFonts w:ascii="Aptos" w:hAnsi="Aptos"/>
          <w:b/>
          <w:bCs/>
        </w:rPr>
      </w:pPr>
      <w:r w:rsidRPr="00DA67F8">
        <w:rPr>
          <w:rFonts w:ascii="Aptos" w:hAnsi="Aptos"/>
          <w:b/>
          <w:bCs/>
        </w:rPr>
        <w:lastRenderedPageBreak/>
        <w:t>i. Contravención al derecho a producir pruebas</w:t>
      </w:r>
    </w:p>
    <w:p w14:paraId="15746DB9" w14:textId="6D3A1A47" w:rsidR="006946C7" w:rsidRPr="00DA67F8" w:rsidRDefault="00D36B54" w:rsidP="0076698B">
      <w:pPr>
        <w:spacing w:line="240" w:lineRule="auto"/>
        <w:jc w:val="both"/>
        <w:rPr>
          <w:rFonts w:ascii="Aptos" w:hAnsi="Aptos" w:cstheme="minorHAnsi"/>
        </w:rPr>
      </w:pPr>
      <w:r w:rsidRPr="00DA67F8">
        <w:rPr>
          <w:rFonts w:ascii="Aptos" w:hAnsi="Aptos"/>
        </w:rPr>
        <w:t xml:space="preserve">1. </w:t>
      </w:r>
      <w:r w:rsidR="001741BB" w:rsidRPr="00DA67F8">
        <w:rPr>
          <w:rFonts w:ascii="Aptos" w:hAnsi="Aptos"/>
        </w:rPr>
        <w:t>El</w:t>
      </w:r>
      <w:r w:rsidRPr="00DA67F8">
        <w:rPr>
          <w:rFonts w:ascii="Aptos" w:hAnsi="Aptos"/>
        </w:rPr>
        <w:t xml:space="preserve"> considerando octavo de la </w:t>
      </w:r>
      <w:r w:rsidRPr="00DA67F8">
        <w:rPr>
          <w:rFonts w:ascii="Aptos" w:hAnsi="Aptos" w:cstheme="minorHAnsi"/>
        </w:rPr>
        <w:t xml:space="preserve">Resolución </w:t>
      </w:r>
      <w:r w:rsidR="0091661E">
        <w:rPr>
          <w:rFonts w:ascii="Aptos" w:hAnsi="Aptos"/>
          <w:b/>
          <w:bCs/>
          <w:u w:val="single"/>
        </w:rPr>
        <w:t>[identificar la resolución]</w:t>
      </w:r>
      <w:r w:rsidRPr="00DA67F8">
        <w:rPr>
          <w:rFonts w:ascii="Aptos" w:hAnsi="Aptos" w:cstheme="minorHAnsi"/>
        </w:rPr>
        <w:t xml:space="preserve"> indica lo siguiente:</w:t>
      </w:r>
    </w:p>
    <w:p w14:paraId="4E21CD83" w14:textId="3BF90011" w:rsidR="00D36B54" w:rsidRPr="00DA67F8" w:rsidRDefault="00D36B54" w:rsidP="0076698B">
      <w:pPr>
        <w:spacing w:line="240" w:lineRule="auto"/>
        <w:jc w:val="both"/>
        <w:rPr>
          <w:rFonts w:ascii="Aptos" w:hAnsi="Aptos"/>
        </w:rPr>
      </w:pPr>
      <w:r w:rsidRPr="00DA67F8">
        <w:rPr>
          <w:rFonts w:ascii="Aptos" w:hAnsi="Aptos"/>
          <w:i/>
          <w:iCs/>
        </w:rPr>
        <w:t>“</w:t>
      </w:r>
      <w:r w:rsidR="00DE18FA" w:rsidRPr="00DA67F8">
        <w:rPr>
          <w:rFonts w:ascii="Aptos" w:hAnsi="Aptos"/>
          <w:i/>
          <w:iCs/>
        </w:rPr>
        <w:t xml:space="preserve">Octavo. Que, respecto a los documentos que anexan a su escrito de reconsideración, se tiene que los mismos que se detallan en los literales a), b), c) y d) de la presente resolución, no tienen la condición de nuevos medios probatorios, </w:t>
      </w:r>
      <w:r w:rsidR="00DE18FA" w:rsidRPr="00DA67F8">
        <w:rPr>
          <w:rFonts w:ascii="Aptos" w:hAnsi="Aptos"/>
          <w:b/>
          <w:bCs/>
          <w:i/>
          <w:iCs/>
        </w:rPr>
        <w:t>solicitándose a</w:t>
      </w:r>
      <w:r w:rsidR="001741BB" w:rsidRPr="00DA67F8">
        <w:rPr>
          <w:rFonts w:ascii="Aptos" w:hAnsi="Aptos"/>
          <w:b/>
          <w:bCs/>
          <w:i/>
          <w:iCs/>
        </w:rPr>
        <w:t xml:space="preserve"> </w:t>
      </w:r>
      <w:r w:rsidR="00DE18FA" w:rsidRPr="00DA67F8">
        <w:rPr>
          <w:rFonts w:ascii="Aptos" w:hAnsi="Aptos"/>
          <w:b/>
          <w:bCs/>
          <w:i/>
          <w:iCs/>
        </w:rPr>
        <w:t>manera de ofrecimiento de pruebas que sean actuados por parte de la</w:t>
      </w:r>
      <w:r w:rsidR="001741BB" w:rsidRPr="00DA67F8">
        <w:rPr>
          <w:rFonts w:ascii="Aptos" w:hAnsi="Aptos"/>
          <w:b/>
          <w:bCs/>
          <w:i/>
          <w:iCs/>
        </w:rPr>
        <w:t xml:space="preserve"> administración</w:t>
      </w:r>
      <w:r w:rsidR="001741BB" w:rsidRPr="00DA67F8">
        <w:rPr>
          <w:rFonts w:ascii="Aptos" w:hAnsi="Aptos"/>
          <w:i/>
          <w:iCs/>
        </w:rPr>
        <w:t>”</w:t>
      </w:r>
      <w:r w:rsidR="002E1A35" w:rsidRPr="00DA67F8">
        <w:rPr>
          <w:rFonts w:ascii="Aptos" w:hAnsi="Aptos"/>
          <w:i/>
          <w:iCs/>
        </w:rPr>
        <w:t xml:space="preserve"> (el resaltado es nuestro)</w:t>
      </w:r>
      <w:r w:rsidR="001741BB" w:rsidRPr="00DA67F8">
        <w:rPr>
          <w:rFonts w:ascii="Aptos" w:hAnsi="Aptos"/>
        </w:rPr>
        <w:t>.</w:t>
      </w:r>
    </w:p>
    <w:p w14:paraId="1D16A8DB" w14:textId="3A95FFDC" w:rsidR="001741BB" w:rsidRPr="00DA67F8" w:rsidRDefault="00176DAF" w:rsidP="0076698B">
      <w:pPr>
        <w:spacing w:line="240" w:lineRule="auto"/>
        <w:jc w:val="both"/>
        <w:rPr>
          <w:rFonts w:ascii="Aptos" w:hAnsi="Aptos"/>
        </w:rPr>
      </w:pPr>
      <w:r w:rsidRPr="00DA67F8">
        <w:rPr>
          <w:rFonts w:ascii="Aptos" w:hAnsi="Aptos"/>
        </w:rPr>
        <w:t>2. Estando al af</w:t>
      </w:r>
      <w:r w:rsidR="00BE6881" w:rsidRPr="00DA67F8">
        <w:rPr>
          <w:rFonts w:ascii="Aptos" w:hAnsi="Aptos"/>
        </w:rPr>
        <w:t xml:space="preserve">orismo romano </w:t>
      </w:r>
      <w:r w:rsidR="002E1A35" w:rsidRPr="00DA67F8">
        <w:rPr>
          <w:rFonts w:ascii="Aptos" w:hAnsi="Aptos"/>
          <w:b/>
          <w:bCs/>
          <w:i/>
          <w:iCs/>
        </w:rPr>
        <w:t>“donde la ley no distingue, nosotros no debemos distinguir”</w:t>
      </w:r>
      <w:r w:rsidR="002E1A35" w:rsidRPr="00DA67F8">
        <w:rPr>
          <w:rFonts w:ascii="Aptos" w:hAnsi="Aptos"/>
        </w:rPr>
        <w:t xml:space="preserve">, </w:t>
      </w:r>
      <w:r w:rsidR="00FB7A2D" w:rsidRPr="00DA67F8">
        <w:rPr>
          <w:rFonts w:ascii="Aptos" w:hAnsi="Aptos"/>
        </w:rPr>
        <w:t>tenemos que el artículo 219 del TUO de la Ley 27444 que regula el recurso de reconsideración</w:t>
      </w:r>
      <w:r w:rsidR="00F4354A" w:rsidRPr="00DA67F8">
        <w:rPr>
          <w:rFonts w:ascii="Aptos" w:hAnsi="Aptos"/>
        </w:rPr>
        <w:t xml:space="preserve"> establece:</w:t>
      </w:r>
    </w:p>
    <w:p w14:paraId="4E8E0D03" w14:textId="60787F8D" w:rsidR="00F4354A" w:rsidRPr="00DA67F8" w:rsidRDefault="00F4354A" w:rsidP="0076698B">
      <w:pPr>
        <w:spacing w:line="240" w:lineRule="auto"/>
        <w:jc w:val="both"/>
        <w:rPr>
          <w:rFonts w:ascii="Aptos" w:hAnsi="Aptos"/>
        </w:rPr>
      </w:pPr>
      <w:r w:rsidRPr="00DA67F8">
        <w:rPr>
          <w:rFonts w:ascii="Aptos" w:hAnsi="Aptos"/>
          <w:i/>
          <w:iCs/>
        </w:rPr>
        <w:t xml:space="preserve">“El recurso de reconsideración se interpondrá ante el mismo órgano que dictó el primer acto que es materia de la impugnación y </w:t>
      </w:r>
      <w:r w:rsidRPr="00DA67F8">
        <w:rPr>
          <w:rFonts w:ascii="Aptos" w:hAnsi="Aptos"/>
          <w:b/>
          <w:bCs/>
          <w:i/>
          <w:iCs/>
          <w:u w:val="single"/>
        </w:rPr>
        <w:t>deberá sustentarse en nueva prueba</w:t>
      </w:r>
      <w:r w:rsidRPr="00DA67F8">
        <w:rPr>
          <w:rFonts w:ascii="Aptos" w:hAnsi="Aptos"/>
          <w:i/>
          <w:iCs/>
        </w:rPr>
        <w:t>. En los casos de actos administrativos emitidos por órganos que constituyen única instancia no se requiere nueva prueba. Este recurso es opcional y su no interposición no impide el ejercicio del recurso de apelación”</w:t>
      </w:r>
      <w:r w:rsidR="002C7697" w:rsidRPr="00DA67F8">
        <w:rPr>
          <w:rFonts w:ascii="Aptos" w:hAnsi="Aptos"/>
          <w:i/>
          <w:iCs/>
        </w:rPr>
        <w:t xml:space="preserve"> (el resaltado es nuestro)</w:t>
      </w:r>
      <w:r w:rsidRPr="00DA67F8">
        <w:rPr>
          <w:rFonts w:ascii="Aptos" w:hAnsi="Aptos"/>
        </w:rPr>
        <w:t>.</w:t>
      </w:r>
    </w:p>
    <w:p w14:paraId="78C000B3" w14:textId="2F03BD23" w:rsidR="002C7697" w:rsidRPr="00DA67F8" w:rsidRDefault="002C7697" w:rsidP="0076698B">
      <w:pPr>
        <w:spacing w:line="240" w:lineRule="auto"/>
        <w:jc w:val="both"/>
        <w:rPr>
          <w:rFonts w:ascii="Aptos" w:hAnsi="Aptos"/>
        </w:rPr>
      </w:pPr>
      <w:r w:rsidRPr="00DA67F8">
        <w:rPr>
          <w:rFonts w:ascii="Aptos" w:hAnsi="Aptos"/>
        </w:rPr>
        <w:t xml:space="preserve">3. Estando a esta norma </w:t>
      </w:r>
      <w:r w:rsidRPr="00DA67F8">
        <w:rPr>
          <w:rFonts w:ascii="Aptos" w:hAnsi="Aptos"/>
          <w:b/>
          <w:bCs/>
        </w:rPr>
        <w:t>tenemos que el recurso de reconsideración deberá sustentarse en nueva prueba</w:t>
      </w:r>
      <w:r w:rsidR="00FD07C2" w:rsidRPr="00DA67F8">
        <w:rPr>
          <w:rFonts w:ascii="Aptos" w:hAnsi="Aptos"/>
          <w:b/>
          <w:bCs/>
        </w:rPr>
        <w:t xml:space="preserve">, sin que se diferencie entre </w:t>
      </w:r>
      <w:r w:rsidR="00B86495" w:rsidRPr="00DA67F8">
        <w:rPr>
          <w:rFonts w:ascii="Aptos" w:hAnsi="Aptos"/>
          <w:b/>
          <w:bCs/>
        </w:rPr>
        <w:t>pruebas de actuación inmediata o actuación mediata</w:t>
      </w:r>
      <w:r w:rsidR="00596D4C" w:rsidRPr="00DA67F8">
        <w:rPr>
          <w:rFonts w:ascii="Aptos" w:hAnsi="Aptos"/>
          <w:b/>
          <w:bCs/>
        </w:rPr>
        <w:t xml:space="preserve">, razón por la cual si es posible ofrecer en nuestro recurso de reconsideración </w:t>
      </w:r>
      <w:r w:rsidR="006F7E8A" w:rsidRPr="00DA67F8">
        <w:rPr>
          <w:rFonts w:ascii="Aptos" w:hAnsi="Aptos"/>
          <w:b/>
          <w:bCs/>
        </w:rPr>
        <w:t>pruebas de actuación mediata, esto es, pruebas a ser actuadas por la administración pública</w:t>
      </w:r>
      <w:r w:rsidR="006F7E8A" w:rsidRPr="00DA67F8">
        <w:rPr>
          <w:rFonts w:ascii="Aptos" w:hAnsi="Aptos"/>
        </w:rPr>
        <w:t xml:space="preserve">, pensar lo contrario sería </w:t>
      </w:r>
      <w:r w:rsidR="00382731" w:rsidRPr="00DA67F8">
        <w:rPr>
          <w:rFonts w:ascii="Aptos" w:hAnsi="Aptos"/>
        </w:rPr>
        <w:t xml:space="preserve">inobservar el derecho a producir pruebas previsto en el principio del debido procedimiento contenido en el artículo IV, </w:t>
      </w:r>
      <w:r w:rsidR="00562A7F" w:rsidRPr="00DA67F8">
        <w:rPr>
          <w:rFonts w:ascii="Aptos" w:hAnsi="Aptos"/>
        </w:rPr>
        <w:t>numeral 1.2, del TUO de la Ley 27444 que indica:</w:t>
      </w:r>
    </w:p>
    <w:p w14:paraId="4BE6227D" w14:textId="4C81D6D1" w:rsidR="00562A7F" w:rsidRPr="00DA67F8" w:rsidRDefault="00562A7F" w:rsidP="0076698B">
      <w:pPr>
        <w:spacing w:line="240" w:lineRule="auto"/>
        <w:jc w:val="both"/>
        <w:rPr>
          <w:rFonts w:ascii="Aptos" w:hAnsi="Aptos"/>
        </w:rPr>
      </w:pPr>
      <w:r w:rsidRPr="00DA67F8">
        <w:rPr>
          <w:rFonts w:ascii="Aptos" w:hAnsi="Aptos"/>
          <w:i/>
          <w:iCs/>
        </w:rPr>
        <w:t xml:space="preserve">“Los administrados gozan de los derechos y garantías implícitos al debido procedimiento administrativo. Tales derechos y garantías comprenden, de modo enunciativo mas no limitativo, los derechos a ser notificados; a acceder al expediente; a refutar los cargos imputados; a exponer argumentos y a presentar alegatos complementarios; a ofrecer y </w:t>
      </w:r>
      <w:r w:rsidRPr="00DA67F8">
        <w:rPr>
          <w:rFonts w:ascii="Aptos" w:hAnsi="Aptos"/>
          <w:b/>
          <w:bCs/>
          <w:i/>
          <w:iCs/>
          <w:u w:val="single"/>
        </w:rPr>
        <w:t>a producir pruebas</w:t>
      </w:r>
      <w:r w:rsidRPr="00DA67F8">
        <w:rPr>
          <w:rFonts w:ascii="Aptos" w:hAnsi="Aptos"/>
          <w:i/>
          <w:iCs/>
        </w:rPr>
        <w:t>” (el resaltado es nuestro)</w:t>
      </w:r>
      <w:r w:rsidRPr="00DA67F8">
        <w:rPr>
          <w:rFonts w:ascii="Aptos" w:hAnsi="Aptos"/>
        </w:rPr>
        <w:t>.</w:t>
      </w:r>
    </w:p>
    <w:p w14:paraId="6796B93F" w14:textId="3E5A1699" w:rsidR="007A3201" w:rsidRPr="00DA67F8" w:rsidRDefault="007A3201" w:rsidP="0076698B">
      <w:pPr>
        <w:spacing w:line="240" w:lineRule="auto"/>
        <w:jc w:val="both"/>
        <w:rPr>
          <w:rFonts w:ascii="Aptos" w:hAnsi="Aptos"/>
        </w:rPr>
      </w:pPr>
      <w:r w:rsidRPr="00DA67F8">
        <w:rPr>
          <w:rFonts w:ascii="Aptos" w:hAnsi="Aptos"/>
        </w:rPr>
        <w:t xml:space="preserve">4. Si bien el artículo 219 del TUO de la Ley 27444 exige la presentación de nueva prueba como requisito para la procedencia del recurso de reconsideración, </w:t>
      </w:r>
      <w:r w:rsidRPr="00DA67F8">
        <w:rPr>
          <w:rFonts w:ascii="Aptos" w:hAnsi="Aptos"/>
          <w:b/>
          <w:bCs/>
          <w:u w:val="single"/>
        </w:rPr>
        <w:t>debe considerarse que el ofrecimiento de nuevas diligencias probatorias constituye en sí una propuesta de prueba nueva, sobre hechos que no fueron adecuadamente considerados en la etapa instructiva</w:t>
      </w:r>
      <w:r w:rsidRPr="00DA67F8">
        <w:rPr>
          <w:rFonts w:ascii="Aptos" w:hAnsi="Aptos"/>
        </w:rPr>
        <w:t xml:space="preserve">. La solicitud de pericia grafotécnica, de verificación formal de firma y de informes institucionales relacionados al certificado médico cuestionado </w:t>
      </w:r>
      <w:r w:rsidRPr="00DA67F8">
        <w:rPr>
          <w:rFonts w:ascii="Aptos" w:hAnsi="Aptos"/>
          <w:b/>
          <w:bCs/>
          <w:u w:val="single"/>
        </w:rPr>
        <w:t>no pretende reexaminar pruebas ya actuadas, sino introducir medios técnicos especializados para contrastar la validez de documentos decisivos en la imputación disciplinaria</w:t>
      </w:r>
      <w:r w:rsidRPr="00DA67F8">
        <w:rPr>
          <w:rFonts w:ascii="Aptos" w:hAnsi="Aptos"/>
        </w:rPr>
        <w:t>, lo cual satisface el objetivo de la reconsideración como mecanismo orientado a alcanzar la verdad material. Excluir estas diligencias bajo una concepción formalista del término 'nueva prueba' vulnera el derecho a la defensa y el principio de verdad material</w:t>
      </w:r>
      <w:r w:rsidR="003A7024" w:rsidRPr="00DA67F8">
        <w:rPr>
          <w:rFonts w:ascii="Aptos" w:hAnsi="Aptos"/>
        </w:rPr>
        <w:t>.</w:t>
      </w:r>
    </w:p>
    <w:p w14:paraId="598EA6A3" w14:textId="13640C35" w:rsidR="00AB7AEC" w:rsidRPr="00DA67F8" w:rsidRDefault="00AB7AEC" w:rsidP="0076698B">
      <w:pPr>
        <w:spacing w:line="240" w:lineRule="auto"/>
        <w:jc w:val="both"/>
        <w:rPr>
          <w:rFonts w:ascii="Aptos" w:hAnsi="Aptos"/>
          <w:b/>
          <w:bCs/>
        </w:rPr>
      </w:pPr>
      <w:r w:rsidRPr="00DA67F8">
        <w:rPr>
          <w:rFonts w:ascii="Aptos" w:hAnsi="Aptos"/>
          <w:b/>
          <w:bCs/>
        </w:rPr>
        <w:t>ii. Inaplicabilidad del principio de preclusión</w:t>
      </w:r>
    </w:p>
    <w:p w14:paraId="5107C342" w14:textId="7F593102" w:rsidR="00A7039F" w:rsidRPr="00DA67F8" w:rsidRDefault="0084126A" w:rsidP="0076698B">
      <w:pPr>
        <w:spacing w:line="240" w:lineRule="auto"/>
        <w:jc w:val="both"/>
        <w:rPr>
          <w:rFonts w:ascii="Aptos" w:hAnsi="Aptos" w:cstheme="minorHAnsi"/>
        </w:rPr>
      </w:pPr>
      <w:r w:rsidRPr="00DA67F8">
        <w:rPr>
          <w:rFonts w:ascii="Aptos" w:hAnsi="Aptos"/>
        </w:rPr>
        <w:t xml:space="preserve">1. El considerando noveno de la </w:t>
      </w:r>
      <w:r w:rsidRPr="00DA67F8">
        <w:rPr>
          <w:rFonts w:ascii="Aptos" w:hAnsi="Aptos" w:cstheme="minorHAnsi"/>
        </w:rPr>
        <w:t xml:space="preserve">Resolución </w:t>
      </w:r>
      <w:r w:rsidR="0091661E">
        <w:rPr>
          <w:rFonts w:ascii="Aptos" w:hAnsi="Aptos"/>
          <w:b/>
          <w:bCs/>
          <w:u w:val="single"/>
        </w:rPr>
        <w:t>[identificar la resolución]</w:t>
      </w:r>
      <w:r w:rsidRPr="00DA67F8">
        <w:rPr>
          <w:rFonts w:ascii="Aptos" w:hAnsi="Aptos" w:cstheme="minorHAnsi"/>
        </w:rPr>
        <w:t xml:space="preserve"> indica lo siguiente:</w:t>
      </w:r>
    </w:p>
    <w:p w14:paraId="6D12203A" w14:textId="78E6D756" w:rsidR="0084126A" w:rsidRPr="00DA67F8" w:rsidRDefault="0084126A" w:rsidP="0076698B">
      <w:pPr>
        <w:spacing w:line="240" w:lineRule="auto"/>
        <w:jc w:val="both"/>
        <w:rPr>
          <w:rFonts w:ascii="Aptos" w:hAnsi="Aptos"/>
        </w:rPr>
      </w:pPr>
      <w:r w:rsidRPr="00DA67F8">
        <w:rPr>
          <w:rFonts w:ascii="Aptos" w:hAnsi="Aptos"/>
          <w:i/>
          <w:iCs/>
        </w:rPr>
        <w:t>“</w:t>
      </w:r>
      <w:r w:rsidR="0046249F" w:rsidRPr="00DA67F8">
        <w:rPr>
          <w:rFonts w:ascii="Aptos" w:hAnsi="Aptos"/>
          <w:b/>
          <w:bCs/>
          <w:i/>
          <w:iCs/>
        </w:rPr>
        <w:t xml:space="preserve">Noveno. </w:t>
      </w:r>
      <w:r w:rsidR="0046249F" w:rsidRPr="00DA67F8">
        <w:rPr>
          <w:rFonts w:ascii="Aptos" w:hAnsi="Aptos"/>
          <w:i/>
          <w:iCs/>
        </w:rPr>
        <w:t xml:space="preserve">Que, si bien en atención al Principio del Debido Procedimiento, señalado en el numeral 1.2 del artículo IV del Título Preliminar del TUO de la LPAG, los administrados gozan de los </w:t>
      </w:r>
      <w:r w:rsidR="0046249F" w:rsidRPr="00DA67F8">
        <w:rPr>
          <w:rFonts w:ascii="Aptos" w:hAnsi="Aptos"/>
          <w:i/>
          <w:iCs/>
        </w:rPr>
        <w:lastRenderedPageBreak/>
        <w:t xml:space="preserve">derechos y garantías implícitos al debido procedimiento administrativo y dentro de ellos, el de ofrecer y a producir pruebas, a solicitar el uso de la palabra, estos derechos </w:t>
      </w:r>
      <w:r w:rsidR="0046249F" w:rsidRPr="00DA67F8">
        <w:rPr>
          <w:rFonts w:ascii="Aptos" w:hAnsi="Aptos"/>
          <w:b/>
          <w:bCs/>
          <w:i/>
          <w:iCs/>
        </w:rPr>
        <w:t>deben ser formulados cuando corresponda</w:t>
      </w:r>
      <w:r w:rsidR="0046249F" w:rsidRPr="00DA67F8">
        <w:rPr>
          <w:rFonts w:ascii="Aptos" w:hAnsi="Aptos"/>
          <w:i/>
          <w:iCs/>
        </w:rPr>
        <w:t>, siendo que en el recurso administrativo que nos ocupa de reconsideración, es restrictivo a la presentación de nueva prueba a cargo del recurrente, por lo que los documentos presentados en los literales a), b), c) y d) de la presente resolución, no podrán ser considerados como nueva prueba, máxime si en el decurso del PAD, ha tenido la oportunidad de ofrecerlas y actuarlas de conformidad a lo establecido en la LPAG”</w:t>
      </w:r>
      <w:r w:rsidR="0046249F" w:rsidRPr="00DA67F8">
        <w:rPr>
          <w:rFonts w:ascii="Aptos" w:hAnsi="Aptos"/>
        </w:rPr>
        <w:t>.</w:t>
      </w:r>
    </w:p>
    <w:p w14:paraId="0740D0E6" w14:textId="5B3E9EA0" w:rsidR="0050727D" w:rsidRPr="00DA67F8" w:rsidRDefault="0050727D" w:rsidP="0076698B">
      <w:pPr>
        <w:spacing w:line="240" w:lineRule="auto"/>
        <w:jc w:val="both"/>
        <w:rPr>
          <w:rFonts w:ascii="Aptos" w:hAnsi="Aptos"/>
        </w:rPr>
      </w:pPr>
      <w:r w:rsidRPr="00DA67F8">
        <w:rPr>
          <w:rFonts w:ascii="Aptos" w:hAnsi="Aptos"/>
        </w:rPr>
        <w:t xml:space="preserve">2. </w:t>
      </w:r>
      <w:r w:rsidR="00347DEB" w:rsidRPr="00DA67F8">
        <w:rPr>
          <w:rFonts w:ascii="Aptos" w:hAnsi="Aptos"/>
        </w:rPr>
        <w:t>El procedimiento administrativo disciplinario no es un proceso judicial</w:t>
      </w:r>
      <w:r w:rsidR="007E1BD8" w:rsidRPr="00DA67F8">
        <w:rPr>
          <w:rFonts w:ascii="Aptos" w:hAnsi="Aptos"/>
        </w:rPr>
        <w:t>, por lo tanto</w:t>
      </w:r>
      <w:r w:rsidR="00681F99" w:rsidRPr="00DA67F8">
        <w:rPr>
          <w:rFonts w:ascii="Aptos" w:hAnsi="Aptos"/>
        </w:rPr>
        <w:t>,</w:t>
      </w:r>
      <w:r w:rsidR="007E1BD8" w:rsidRPr="00DA67F8">
        <w:rPr>
          <w:rFonts w:ascii="Aptos" w:hAnsi="Aptos"/>
        </w:rPr>
        <w:t xml:space="preserve"> no es aplicable el principio de preclusión ni la figura de pruebas extemporáneas</w:t>
      </w:r>
      <w:r w:rsidR="00D45F33" w:rsidRPr="00DA67F8">
        <w:rPr>
          <w:rFonts w:ascii="Aptos" w:hAnsi="Aptos"/>
        </w:rPr>
        <w:t>, por lo que indicar que las pruebas “deben ser formuladas cuando corresponda”, contraviene las siguientes normas:</w:t>
      </w:r>
    </w:p>
    <w:p w14:paraId="6CAD9BCB" w14:textId="0BD5DA5E" w:rsidR="00681F99" w:rsidRPr="00DA67F8" w:rsidRDefault="00681F99" w:rsidP="0076698B">
      <w:pPr>
        <w:spacing w:line="240" w:lineRule="auto"/>
        <w:jc w:val="both"/>
        <w:rPr>
          <w:rFonts w:ascii="Aptos" w:hAnsi="Aptos"/>
        </w:rPr>
      </w:pPr>
      <w:r w:rsidRPr="00DA67F8">
        <w:rPr>
          <w:rFonts w:ascii="Aptos" w:hAnsi="Aptos"/>
        </w:rPr>
        <w:t xml:space="preserve">2.1. El artículo 174.3 del TUO de la Ley 27444 establece </w:t>
      </w:r>
      <w:r w:rsidRPr="00DA67F8">
        <w:rPr>
          <w:rFonts w:ascii="Aptos" w:hAnsi="Aptos"/>
          <w:i/>
          <w:iCs/>
        </w:rPr>
        <w:t>“</w:t>
      </w:r>
      <w:r w:rsidR="006F2AE3" w:rsidRPr="00DA67F8">
        <w:rPr>
          <w:rFonts w:ascii="Aptos" w:hAnsi="Aptos"/>
          <w:i/>
          <w:iCs/>
        </w:rPr>
        <w:t>Las pruebas sobrevinientes pueden presentarse siempre que no se haya emitido resolución definitiva”</w:t>
      </w:r>
      <w:r w:rsidR="006F2AE3" w:rsidRPr="00DA67F8">
        <w:rPr>
          <w:rFonts w:ascii="Aptos" w:hAnsi="Aptos"/>
        </w:rPr>
        <w:t>.</w:t>
      </w:r>
    </w:p>
    <w:p w14:paraId="40EED688" w14:textId="46546232" w:rsidR="006F2AE3" w:rsidRPr="00DA67F8" w:rsidRDefault="006F2AE3" w:rsidP="0076698B">
      <w:pPr>
        <w:spacing w:line="240" w:lineRule="auto"/>
        <w:jc w:val="both"/>
        <w:rPr>
          <w:rFonts w:ascii="Aptos" w:hAnsi="Aptos"/>
        </w:rPr>
      </w:pPr>
      <w:r w:rsidRPr="00DA67F8">
        <w:rPr>
          <w:rFonts w:ascii="Aptos" w:hAnsi="Aptos"/>
        </w:rPr>
        <w:t>2.2.</w:t>
      </w:r>
      <w:r w:rsidR="003B4216" w:rsidRPr="00DA67F8">
        <w:rPr>
          <w:rFonts w:ascii="Aptos" w:hAnsi="Aptos"/>
        </w:rPr>
        <w:t xml:space="preserve"> El artículo 172.1 del TUO de la Ley 27444 indica “</w:t>
      </w:r>
      <w:r w:rsidR="00743D2A" w:rsidRPr="00DA67F8">
        <w:rPr>
          <w:rFonts w:ascii="Aptos" w:hAnsi="Aptos"/>
          <w:i/>
          <w:iCs/>
        </w:rPr>
        <w:t>Los administrados pueden en cualquier momento del procedimiento, formular alegaciones, aportar los documentos u otros elementos de juicio, los que serán analizados por la autoridad, al resolver”</w:t>
      </w:r>
      <w:r w:rsidR="00743D2A" w:rsidRPr="00DA67F8">
        <w:rPr>
          <w:rFonts w:ascii="Aptos" w:hAnsi="Aptos"/>
        </w:rPr>
        <w:t>.</w:t>
      </w:r>
    </w:p>
    <w:p w14:paraId="2E0DFD6F" w14:textId="0E0BD0A7" w:rsidR="00EB1651" w:rsidRDefault="00743D2A" w:rsidP="0076698B">
      <w:pPr>
        <w:spacing w:line="240" w:lineRule="auto"/>
        <w:jc w:val="both"/>
        <w:rPr>
          <w:rFonts w:ascii="Aptos" w:hAnsi="Aptos"/>
        </w:rPr>
      </w:pPr>
      <w:r w:rsidRPr="00DA67F8">
        <w:rPr>
          <w:rFonts w:ascii="Aptos" w:hAnsi="Aptos"/>
        </w:rPr>
        <w:t xml:space="preserve">3. </w:t>
      </w:r>
      <w:r w:rsidR="00C64F83" w:rsidRPr="00DA67F8">
        <w:rPr>
          <w:rFonts w:ascii="Aptos" w:hAnsi="Aptos"/>
        </w:rPr>
        <w:t>De esta manera, hasta antes que se emita la resolución que agota la vía administrativa se puede ofrecer prueba sobrevenida, no hace referencia a prueba extemporánea</w:t>
      </w:r>
      <w:r w:rsidR="008D0964" w:rsidRPr="00DA67F8">
        <w:rPr>
          <w:rFonts w:ascii="Aptos" w:hAnsi="Aptos"/>
        </w:rPr>
        <w:t>; asimismo, se establece que los administrados pueden en cualquier momento aportar elementos de juicio</w:t>
      </w:r>
      <w:r w:rsidR="00AB7AEC" w:rsidRPr="00DA67F8">
        <w:rPr>
          <w:rFonts w:ascii="Aptos" w:hAnsi="Aptos"/>
        </w:rPr>
        <w:t>.</w:t>
      </w:r>
    </w:p>
    <w:p w14:paraId="6D7FE05B" w14:textId="235EA8BC" w:rsidR="00B142CD" w:rsidRPr="00B142CD" w:rsidRDefault="00B142CD" w:rsidP="00B142CD">
      <w:pPr>
        <w:spacing w:line="240" w:lineRule="auto"/>
        <w:jc w:val="center"/>
        <w:rPr>
          <w:rFonts w:ascii="Aptos" w:hAnsi="Aptos"/>
          <w:b/>
          <w:bCs/>
        </w:rPr>
      </w:pPr>
      <w:r w:rsidRPr="00B142CD">
        <w:rPr>
          <w:rFonts w:ascii="Aptos" w:hAnsi="Aptos"/>
          <w:b/>
          <w:bCs/>
        </w:rPr>
        <w:t>[Lo indicado es un ejemplo de los fundamentos del recurso de apelación, los cuales pueden variar según cada caso concreto]</w:t>
      </w:r>
    </w:p>
    <w:p w14:paraId="604488C9" w14:textId="77777777" w:rsidR="00826602" w:rsidRDefault="00826602" w:rsidP="0076698B">
      <w:pPr>
        <w:spacing w:line="240" w:lineRule="auto"/>
        <w:jc w:val="center"/>
        <w:rPr>
          <w:rFonts w:ascii="Aptos" w:hAnsi="Aptos"/>
          <w:b/>
          <w:bCs/>
        </w:rPr>
      </w:pPr>
    </w:p>
    <w:p w14:paraId="009BD6CB" w14:textId="05EFEC2F" w:rsidR="00DD6201" w:rsidRPr="00DA67F8" w:rsidRDefault="00DD6201" w:rsidP="0076698B">
      <w:pPr>
        <w:spacing w:line="240" w:lineRule="auto"/>
        <w:jc w:val="center"/>
        <w:rPr>
          <w:rFonts w:ascii="Aptos" w:hAnsi="Aptos" w:cstheme="minorHAnsi"/>
          <w:b/>
          <w:bCs/>
        </w:rPr>
      </w:pPr>
      <w:r w:rsidRPr="00DA67F8">
        <w:rPr>
          <w:rFonts w:ascii="Aptos" w:hAnsi="Aptos"/>
          <w:b/>
          <w:bCs/>
        </w:rPr>
        <w:t xml:space="preserve">De la nulidad de la </w:t>
      </w:r>
      <w:r w:rsidRPr="00DA67F8">
        <w:rPr>
          <w:rFonts w:ascii="Aptos" w:hAnsi="Aptos" w:cstheme="minorHAnsi"/>
          <w:b/>
          <w:bCs/>
        </w:rPr>
        <w:t xml:space="preserve">Resolución </w:t>
      </w:r>
      <w:r w:rsidR="00B142CD">
        <w:rPr>
          <w:rFonts w:ascii="Aptos" w:hAnsi="Aptos"/>
          <w:b/>
          <w:bCs/>
          <w:u w:val="single"/>
        </w:rPr>
        <w:t>[identificar la resolución]</w:t>
      </w:r>
    </w:p>
    <w:p w14:paraId="198E0957" w14:textId="1CAE7C9F" w:rsidR="008641C7" w:rsidRPr="00DA67F8" w:rsidRDefault="008641C7" w:rsidP="0076698B">
      <w:pPr>
        <w:spacing w:line="240" w:lineRule="auto"/>
        <w:jc w:val="both"/>
        <w:rPr>
          <w:rFonts w:ascii="Aptos" w:hAnsi="Aptos"/>
        </w:rPr>
      </w:pPr>
      <w:r w:rsidRPr="00DA67F8">
        <w:rPr>
          <w:rFonts w:ascii="Aptos" w:hAnsi="Aptos" w:cstheme="minorHAnsi"/>
        </w:rPr>
        <w:t xml:space="preserve">A fin de no realizar transcripciones </w:t>
      </w:r>
      <w:r w:rsidR="00D42166" w:rsidRPr="00DA67F8">
        <w:rPr>
          <w:rFonts w:ascii="Aptos" w:hAnsi="Aptos" w:cstheme="minorHAnsi"/>
        </w:rPr>
        <w:t xml:space="preserve">del contenido de documentos que ya obran en el expediente, </w:t>
      </w:r>
      <w:r w:rsidR="00D42166" w:rsidRPr="00DA67F8">
        <w:rPr>
          <w:rFonts w:ascii="Aptos" w:hAnsi="Aptos" w:cstheme="minorHAnsi"/>
          <w:b/>
          <w:bCs/>
        </w:rPr>
        <w:t xml:space="preserve">solicito a los miembros de la Sala del Tribunal del Servicio Civil </w:t>
      </w:r>
      <w:r w:rsidR="0018020D" w:rsidRPr="00DA67F8">
        <w:rPr>
          <w:rFonts w:ascii="Aptos" w:hAnsi="Aptos" w:cstheme="minorHAnsi"/>
          <w:b/>
          <w:bCs/>
        </w:rPr>
        <w:t>realicen un re – examen de los fundamentos de hecho y de derecho de nuestro recurso de reconsideración</w:t>
      </w:r>
      <w:r w:rsidR="0018020D" w:rsidRPr="00DA67F8">
        <w:rPr>
          <w:rFonts w:ascii="Aptos" w:hAnsi="Aptos" w:cstheme="minorHAnsi"/>
        </w:rPr>
        <w:t xml:space="preserve">, puesto que conforme lo hemos acreditado </w:t>
      </w:r>
      <w:r w:rsidR="007A28A8" w:rsidRPr="00DA67F8">
        <w:rPr>
          <w:rFonts w:ascii="Aptos" w:hAnsi="Aptos" w:cstheme="minorHAnsi"/>
          <w:i/>
          <w:iCs/>
        </w:rPr>
        <w:t>ut supra</w:t>
      </w:r>
      <w:r w:rsidR="007A28A8" w:rsidRPr="00DA67F8">
        <w:rPr>
          <w:rFonts w:ascii="Aptos" w:hAnsi="Aptos" w:cstheme="minorHAnsi"/>
        </w:rPr>
        <w:t xml:space="preserve"> es evidente la afectación al debido proceso en el presente caso.</w:t>
      </w:r>
    </w:p>
    <w:p w14:paraId="16C6538D" w14:textId="77777777" w:rsidR="006B7D36" w:rsidRPr="00DA67F8" w:rsidRDefault="006B7D36" w:rsidP="0076698B">
      <w:pPr>
        <w:pStyle w:val="Sinespaciado"/>
        <w:jc w:val="both"/>
        <w:rPr>
          <w:rFonts w:ascii="Aptos" w:hAnsi="Aptos" w:cstheme="minorHAnsi"/>
          <w:b/>
        </w:rPr>
      </w:pPr>
      <w:r w:rsidRPr="00DA67F8">
        <w:rPr>
          <w:rFonts w:ascii="Aptos" w:hAnsi="Aptos" w:cstheme="minorHAnsi"/>
          <w:b/>
        </w:rPr>
        <w:t>V. ANEXOS</w:t>
      </w:r>
    </w:p>
    <w:p w14:paraId="51800178" w14:textId="77777777" w:rsidR="006B7D36" w:rsidRPr="00DA67F8" w:rsidRDefault="006B7D36" w:rsidP="0076698B">
      <w:pPr>
        <w:pStyle w:val="Sinespaciado"/>
        <w:jc w:val="both"/>
        <w:rPr>
          <w:rFonts w:ascii="Aptos" w:hAnsi="Aptos" w:cstheme="minorHAnsi"/>
        </w:rPr>
      </w:pPr>
      <w:r w:rsidRPr="00DA67F8">
        <w:rPr>
          <w:rFonts w:ascii="Aptos" w:hAnsi="Aptos" w:cstheme="minorHAnsi"/>
        </w:rPr>
        <w:t>1-A Copia de mi Documento Nacional de Identidad</w:t>
      </w:r>
    </w:p>
    <w:p w14:paraId="36C529BE" w14:textId="2B4EFE15" w:rsidR="006B7D36" w:rsidRPr="00DA67F8" w:rsidRDefault="006B7D36" w:rsidP="0076698B">
      <w:pPr>
        <w:pStyle w:val="Sinespaciado"/>
        <w:jc w:val="both"/>
        <w:rPr>
          <w:rFonts w:ascii="Aptos" w:hAnsi="Aptos" w:cstheme="minorHAnsi"/>
          <w:b/>
          <w:bCs/>
        </w:rPr>
      </w:pPr>
      <w:r w:rsidRPr="00DA67F8">
        <w:rPr>
          <w:rFonts w:ascii="Aptos" w:hAnsi="Aptos" w:cstheme="minorHAnsi"/>
        </w:rPr>
        <w:t xml:space="preserve">1-B </w:t>
      </w:r>
      <w:r w:rsidR="000E6A13" w:rsidRPr="00DA67F8">
        <w:rPr>
          <w:rFonts w:ascii="Aptos" w:hAnsi="Aptos" w:cstheme="minorHAnsi"/>
          <w:b/>
        </w:rPr>
        <w:t xml:space="preserve">Resolución </w:t>
      </w:r>
      <w:r w:rsidR="00B142CD">
        <w:rPr>
          <w:rFonts w:ascii="Aptos" w:hAnsi="Aptos"/>
          <w:b/>
          <w:bCs/>
          <w:u w:val="single"/>
        </w:rPr>
        <w:t>[identificar la resolución]</w:t>
      </w:r>
      <w:r w:rsidRPr="00DA67F8">
        <w:rPr>
          <w:rFonts w:ascii="Aptos" w:hAnsi="Aptos" w:cstheme="minorHAnsi"/>
          <w:b/>
        </w:rPr>
        <w:t xml:space="preserve"> (acto </w:t>
      </w:r>
      <w:r w:rsidR="000E6A13" w:rsidRPr="00DA67F8">
        <w:rPr>
          <w:rFonts w:ascii="Aptos" w:hAnsi="Aptos" w:cstheme="minorHAnsi"/>
          <w:b/>
        </w:rPr>
        <w:t>administrativo impugnado</w:t>
      </w:r>
      <w:r w:rsidRPr="00DA67F8">
        <w:rPr>
          <w:rFonts w:ascii="Aptos" w:hAnsi="Aptos" w:cstheme="minorHAnsi"/>
          <w:b/>
        </w:rPr>
        <w:t>)</w:t>
      </w:r>
    </w:p>
    <w:p w14:paraId="44DF2CFF" w14:textId="77777777" w:rsidR="006B7D36" w:rsidRPr="00DA67F8" w:rsidRDefault="006B7D36" w:rsidP="0076698B">
      <w:pPr>
        <w:pStyle w:val="Sinespaciado"/>
        <w:jc w:val="both"/>
        <w:rPr>
          <w:rFonts w:ascii="Aptos" w:hAnsi="Aptos" w:cstheme="minorHAnsi"/>
        </w:rPr>
      </w:pPr>
      <w:r w:rsidRPr="00DA67F8">
        <w:rPr>
          <w:rFonts w:ascii="Aptos" w:hAnsi="Aptos" w:cstheme="minorHAnsi"/>
          <w:b/>
          <w:bCs/>
        </w:rPr>
        <w:t>1-C Formato 01</w:t>
      </w:r>
      <w:r w:rsidRPr="00DA67F8">
        <w:rPr>
          <w:rFonts w:ascii="Aptos" w:hAnsi="Aptos" w:cstheme="minorHAnsi"/>
        </w:rPr>
        <w:t xml:space="preserve"> conforme a la Directiva 001-2017-SERVIR/TSC sobre casilla electrónica.</w:t>
      </w:r>
    </w:p>
    <w:p w14:paraId="40CE1DB6" w14:textId="77777777" w:rsidR="006B7D36" w:rsidRPr="00DA67F8" w:rsidRDefault="006B7D36" w:rsidP="0076698B">
      <w:pPr>
        <w:pStyle w:val="Sinespaciado"/>
        <w:jc w:val="both"/>
        <w:rPr>
          <w:rFonts w:ascii="Aptos" w:hAnsi="Aptos" w:cstheme="minorHAnsi"/>
        </w:rPr>
      </w:pPr>
      <w:r w:rsidRPr="00DA67F8">
        <w:rPr>
          <w:rFonts w:ascii="Aptos" w:hAnsi="Aptos" w:cstheme="minorHAnsi"/>
        </w:rPr>
        <w:t>1-D Constancia de habilitación del Abogado que suscribe la presente.</w:t>
      </w:r>
    </w:p>
    <w:p w14:paraId="3E56983F" w14:textId="77777777" w:rsidR="006B7D36" w:rsidRPr="00DA67F8" w:rsidRDefault="006B7D36" w:rsidP="0076698B">
      <w:pPr>
        <w:pStyle w:val="Sinespaciado"/>
        <w:jc w:val="center"/>
        <w:rPr>
          <w:rFonts w:ascii="Aptos" w:hAnsi="Aptos" w:cstheme="minorHAnsi"/>
          <w:b/>
          <w:bCs/>
        </w:rPr>
      </w:pPr>
    </w:p>
    <w:p w14:paraId="1B1B8D85" w14:textId="77777777" w:rsidR="006B7D36" w:rsidRPr="00DA67F8" w:rsidRDefault="006B7D36" w:rsidP="0076698B">
      <w:pPr>
        <w:pStyle w:val="Sinespaciado"/>
        <w:jc w:val="center"/>
        <w:rPr>
          <w:rFonts w:ascii="Aptos" w:hAnsi="Aptos" w:cstheme="minorHAnsi"/>
          <w:b/>
        </w:rPr>
      </w:pPr>
      <w:r w:rsidRPr="00DA67F8">
        <w:rPr>
          <w:rFonts w:ascii="Aptos" w:hAnsi="Aptos" w:cstheme="minorHAnsi"/>
          <w:b/>
        </w:rPr>
        <w:t>POR LO EXPUESTO:</w:t>
      </w:r>
    </w:p>
    <w:p w14:paraId="0B10D89F" w14:textId="54DEC150" w:rsidR="006B7D36" w:rsidRPr="00DA67F8" w:rsidRDefault="006B7D36" w:rsidP="0076698B">
      <w:pPr>
        <w:pStyle w:val="Sinespaciado"/>
        <w:jc w:val="both"/>
        <w:rPr>
          <w:rFonts w:ascii="Aptos" w:hAnsi="Aptos" w:cstheme="minorHAnsi"/>
        </w:rPr>
      </w:pPr>
      <w:r w:rsidRPr="00DA67F8">
        <w:rPr>
          <w:rFonts w:ascii="Aptos" w:hAnsi="Aptos" w:cstheme="minorHAnsi"/>
        </w:rPr>
        <w:t>Pido a usted remitir el presente recurso</w:t>
      </w:r>
      <w:r w:rsidR="00FB7E46" w:rsidRPr="00DA67F8">
        <w:rPr>
          <w:rFonts w:ascii="Aptos" w:hAnsi="Aptos" w:cstheme="minorHAnsi"/>
        </w:rPr>
        <w:t xml:space="preserve"> de apelación</w:t>
      </w:r>
      <w:r w:rsidRPr="00DA67F8">
        <w:rPr>
          <w:rFonts w:ascii="Aptos" w:hAnsi="Aptos" w:cstheme="minorHAnsi"/>
        </w:rPr>
        <w:t xml:space="preserve"> y los actuados al Tribunal del Servicio Civil.</w:t>
      </w:r>
    </w:p>
    <w:p w14:paraId="2053132C" w14:textId="77777777" w:rsidR="006B7D36" w:rsidRPr="00DA67F8" w:rsidRDefault="006B7D36" w:rsidP="0076698B">
      <w:pPr>
        <w:pStyle w:val="Sinespaciado"/>
        <w:jc w:val="both"/>
        <w:rPr>
          <w:rFonts w:ascii="Aptos" w:hAnsi="Aptos" w:cstheme="minorHAnsi"/>
        </w:rPr>
      </w:pPr>
    </w:p>
    <w:p w14:paraId="2E13366F" w14:textId="60F57BA8" w:rsidR="006B7D36" w:rsidRPr="00DA67F8" w:rsidRDefault="006B7D36" w:rsidP="0076698B">
      <w:pPr>
        <w:pStyle w:val="Sinespaciado"/>
        <w:jc w:val="both"/>
        <w:rPr>
          <w:rFonts w:ascii="Aptos" w:hAnsi="Aptos" w:cstheme="minorHAnsi"/>
        </w:rPr>
      </w:pPr>
      <w:r w:rsidRPr="00DA67F8">
        <w:rPr>
          <w:rFonts w:ascii="Aptos" w:hAnsi="Aptos" w:cstheme="minorHAnsi"/>
          <w:b/>
        </w:rPr>
        <w:t>PRIMERO OTROSI</w:t>
      </w:r>
      <w:r w:rsidRPr="00DA67F8">
        <w:rPr>
          <w:rFonts w:ascii="Aptos" w:hAnsi="Aptos" w:cstheme="minorHAnsi"/>
        </w:rPr>
        <w:t xml:space="preserve">. Luego de verificados los requisitos de admisión del recurso de apelación, solicito se remita al Tribunal del Servicio Civil </w:t>
      </w:r>
      <w:r w:rsidR="00E027AF" w:rsidRPr="00DA67F8">
        <w:rPr>
          <w:rFonts w:ascii="Aptos" w:hAnsi="Aptos" w:cstheme="minorHAnsi"/>
        </w:rPr>
        <w:t>junto</w:t>
      </w:r>
      <w:r w:rsidRPr="00DA67F8">
        <w:rPr>
          <w:rFonts w:ascii="Aptos" w:hAnsi="Aptos" w:cstheme="minorHAnsi"/>
        </w:rPr>
        <w:t xml:space="preserve"> con los antecedentes que sustentaron la </w:t>
      </w:r>
      <w:r w:rsidRPr="00DA67F8">
        <w:rPr>
          <w:rFonts w:ascii="Aptos" w:hAnsi="Aptos" w:cstheme="minorHAnsi"/>
        </w:rPr>
        <w:lastRenderedPageBreak/>
        <w:t>emisión del acto impugnado, conforme al artículo 20, literal a) del Decreto Supremo 008-2010-PCM – Reglamento del Tribunal del Servicio Civil</w:t>
      </w:r>
      <w:r w:rsidRPr="00DA67F8">
        <w:rPr>
          <w:rStyle w:val="Refdenotaalpie"/>
          <w:rFonts w:ascii="Aptos" w:hAnsi="Aptos" w:cstheme="minorHAnsi"/>
        </w:rPr>
        <w:footnoteReference w:id="7"/>
      </w:r>
      <w:r w:rsidRPr="00DA67F8">
        <w:rPr>
          <w:rFonts w:ascii="Aptos" w:hAnsi="Aptos" w:cstheme="minorHAnsi"/>
        </w:rPr>
        <w:t>.</w:t>
      </w:r>
    </w:p>
    <w:p w14:paraId="321C03B0" w14:textId="77777777" w:rsidR="006B7D36" w:rsidRPr="00DA67F8" w:rsidRDefault="006B7D36" w:rsidP="0076698B">
      <w:pPr>
        <w:pStyle w:val="Sinespaciado"/>
        <w:jc w:val="both"/>
        <w:rPr>
          <w:rFonts w:ascii="Aptos" w:hAnsi="Aptos" w:cstheme="minorHAnsi"/>
        </w:rPr>
      </w:pPr>
    </w:p>
    <w:p w14:paraId="77C635B9" w14:textId="302572B6" w:rsidR="006B7D36" w:rsidRPr="00DA67F8" w:rsidRDefault="006B7D36" w:rsidP="0076698B">
      <w:pPr>
        <w:pStyle w:val="Sinespaciado"/>
        <w:jc w:val="both"/>
        <w:rPr>
          <w:rFonts w:ascii="Aptos" w:hAnsi="Aptos" w:cstheme="minorHAnsi"/>
        </w:rPr>
      </w:pPr>
      <w:r w:rsidRPr="00DA67F8">
        <w:rPr>
          <w:rFonts w:ascii="Aptos" w:hAnsi="Aptos" w:cstheme="minorHAnsi"/>
          <w:b/>
          <w:bCs/>
        </w:rPr>
        <w:t>SEGUNDO OTROSI</w:t>
      </w:r>
      <w:r w:rsidRPr="00DA67F8">
        <w:rPr>
          <w:rFonts w:ascii="Aptos" w:hAnsi="Aptos" w:cstheme="minorHAnsi"/>
        </w:rPr>
        <w:t xml:space="preserve">. En </w:t>
      </w:r>
      <w:r w:rsidRPr="00DA67F8">
        <w:rPr>
          <w:rFonts w:ascii="Aptos" w:hAnsi="Aptos" w:cstheme="minorHAnsi"/>
          <w:b/>
          <w:bCs/>
        </w:rPr>
        <w:t>vía de medida cautelar</w:t>
      </w:r>
      <w:r w:rsidRPr="00DA67F8">
        <w:rPr>
          <w:rFonts w:ascii="Aptos" w:hAnsi="Aptos" w:cstheme="minorHAnsi"/>
        </w:rPr>
        <w:t xml:space="preserve"> y sustentado en los mismos fundamentos del presente recurso de apelación solicito se suspenda la ejecución de la </w:t>
      </w:r>
      <w:r w:rsidR="00740E61" w:rsidRPr="00DA67F8">
        <w:rPr>
          <w:rFonts w:ascii="Aptos" w:hAnsi="Aptos" w:cstheme="minorHAnsi"/>
          <w:b/>
          <w:u w:val="single"/>
        </w:rPr>
        <w:t xml:space="preserve">Resolución </w:t>
      </w:r>
      <w:r w:rsidR="004367A3">
        <w:rPr>
          <w:rFonts w:ascii="Aptos" w:hAnsi="Aptos"/>
          <w:b/>
          <w:bCs/>
          <w:u w:val="single"/>
        </w:rPr>
        <w:t>[identificar la resolución]</w:t>
      </w:r>
      <w:r w:rsidR="00740E61" w:rsidRPr="00DA67F8">
        <w:rPr>
          <w:rFonts w:ascii="Aptos" w:hAnsi="Aptos" w:cstheme="minorHAnsi"/>
          <w:b/>
        </w:rPr>
        <w:t xml:space="preserve"> que declarando improcedente mi recurso de reconsideración confirma la Resolución </w:t>
      </w:r>
      <w:r w:rsidR="004367A3">
        <w:rPr>
          <w:rFonts w:ascii="Aptos" w:hAnsi="Aptos"/>
          <w:b/>
          <w:bCs/>
          <w:u w:val="single"/>
        </w:rPr>
        <w:t>[identificar la resolución]</w:t>
      </w:r>
      <w:r w:rsidR="00740E61" w:rsidRPr="00DA67F8">
        <w:rPr>
          <w:rFonts w:ascii="Aptos" w:hAnsi="Aptos" w:cstheme="minorHAnsi"/>
          <w:b/>
        </w:rPr>
        <w:t xml:space="preserve"> que me impone sanción de </w:t>
      </w:r>
      <w:r w:rsidR="00740E61" w:rsidRPr="00DA67F8">
        <w:rPr>
          <w:rFonts w:ascii="Aptos" w:hAnsi="Aptos" w:cstheme="minorHAnsi"/>
          <w:b/>
          <w:u w:val="single"/>
        </w:rPr>
        <w:t>destitución</w:t>
      </w:r>
      <w:r w:rsidRPr="00DA67F8">
        <w:rPr>
          <w:rFonts w:ascii="Aptos" w:hAnsi="Aptos" w:cstheme="minorHAnsi"/>
          <w:b/>
        </w:rPr>
        <w:t>.</w:t>
      </w:r>
    </w:p>
    <w:p w14:paraId="0A0802A8" w14:textId="77777777" w:rsidR="006B7D36" w:rsidRPr="00DA67F8" w:rsidRDefault="006B7D36" w:rsidP="0076698B">
      <w:pPr>
        <w:pStyle w:val="Sinespaciado"/>
        <w:jc w:val="both"/>
        <w:rPr>
          <w:rFonts w:ascii="Aptos" w:hAnsi="Aptos" w:cstheme="minorHAnsi"/>
        </w:rPr>
      </w:pPr>
    </w:p>
    <w:p w14:paraId="705A91AA" w14:textId="7C3312DF" w:rsidR="006B7D36" w:rsidRPr="00DA67F8" w:rsidRDefault="006B7D36" w:rsidP="0076698B">
      <w:pPr>
        <w:pStyle w:val="Sinespaciado"/>
        <w:jc w:val="both"/>
        <w:rPr>
          <w:rFonts w:ascii="Aptos" w:hAnsi="Aptos" w:cstheme="minorHAnsi"/>
        </w:rPr>
      </w:pPr>
      <w:r w:rsidRPr="00DA67F8">
        <w:rPr>
          <w:rFonts w:ascii="Aptos" w:hAnsi="Aptos" w:cstheme="minorHAnsi"/>
        </w:rPr>
        <w:t>Lima, 0</w:t>
      </w:r>
      <w:r w:rsidR="00E027AF" w:rsidRPr="00DA67F8">
        <w:rPr>
          <w:rFonts w:ascii="Aptos" w:hAnsi="Aptos" w:cstheme="minorHAnsi"/>
        </w:rPr>
        <w:t>7</w:t>
      </w:r>
      <w:r w:rsidRPr="00DA67F8">
        <w:rPr>
          <w:rFonts w:ascii="Aptos" w:hAnsi="Aptos" w:cstheme="minorHAnsi"/>
        </w:rPr>
        <w:t xml:space="preserve"> de </w:t>
      </w:r>
      <w:r w:rsidR="00E027AF" w:rsidRPr="00DA67F8">
        <w:rPr>
          <w:rFonts w:ascii="Aptos" w:hAnsi="Aptos" w:cstheme="minorHAnsi"/>
        </w:rPr>
        <w:t>julio</w:t>
      </w:r>
      <w:r w:rsidRPr="00DA67F8">
        <w:rPr>
          <w:rFonts w:ascii="Aptos" w:hAnsi="Aptos" w:cstheme="minorHAnsi"/>
        </w:rPr>
        <w:t xml:space="preserve"> de 2025</w:t>
      </w:r>
    </w:p>
    <w:p w14:paraId="5D930E28" w14:textId="77777777" w:rsidR="006B7D36" w:rsidRPr="00DA67F8" w:rsidRDefault="006B7D36" w:rsidP="0076698B">
      <w:pPr>
        <w:pStyle w:val="Sinespaciado"/>
        <w:jc w:val="both"/>
        <w:rPr>
          <w:rFonts w:ascii="Aptos" w:hAnsi="Aptos" w:cstheme="minorHAnsi"/>
        </w:rPr>
      </w:pPr>
    </w:p>
    <w:p w14:paraId="3CA0D837" w14:textId="7768E39F" w:rsidR="006B7D36" w:rsidRPr="00DA67F8" w:rsidRDefault="00FB4B32" w:rsidP="0076698B">
      <w:pPr>
        <w:pStyle w:val="Sinespaciado"/>
        <w:jc w:val="center"/>
        <w:rPr>
          <w:rFonts w:ascii="Aptos" w:hAnsi="Aptos" w:cstheme="minorHAnsi"/>
          <w:b/>
        </w:rPr>
      </w:pPr>
      <w:r>
        <w:rPr>
          <w:rFonts w:ascii="Aptos" w:hAnsi="Aptos"/>
          <w:b/>
          <w:bCs/>
        </w:rPr>
        <w:t>[firma del servidor público apelante]</w:t>
      </w:r>
      <w:r w:rsidR="006B7D36" w:rsidRPr="00DA67F8">
        <w:rPr>
          <w:rStyle w:val="Refdenotaalpie"/>
          <w:rFonts w:ascii="Aptos" w:hAnsi="Aptos" w:cstheme="minorHAnsi"/>
          <w:b/>
        </w:rPr>
        <w:footnoteReference w:id="8"/>
      </w:r>
    </w:p>
    <w:p w14:paraId="190D1D7A" w14:textId="77777777" w:rsidR="00FB4B32" w:rsidRDefault="00FB4B32" w:rsidP="0076698B">
      <w:pPr>
        <w:pStyle w:val="Sinespaciado"/>
        <w:jc w:val="center"/>
        <w:rPr>
          <w:rFonts w:ascii="Aptos" w:hAnsi="Aptos"/>
          <w:b/>
          <w:bCs/>
          <w:lang w:val="es-ES"/>
        </w:rPr>
      </w:pPr>
    </w:p>
    <w:p w14:paraId="06900797" w14:textId="598DFD6D" w:rsidR="006B7D36" w:rsidRPr="00DA67F8" w:rsidRDefault="00FB4B32" w:rsidP="0076698B">
      <w:pPr>
        <w:pStyle w:val="Sinespaciado"/>
        <w:jc w:val="center"/>
        <w:rPr>
          <w:rFonts w:ascii="Aptos" w:hAnsi="Aptos"/>
        </w:rPr>
      </w:pPr>
      <w:r>
        <w:rPr>
          <w:rFonts w:ascii="Aptos" w:hAnsi="Aptos"/>
          <w:b/>
          <w:bCs/>
          <w:lang w:val="es-ES"/>
        </w:rPr>
        <w:t>[firma y post firma del abogado del servidor apelante]</w:t>
      </w:r>
      <w:r w:rsidR="006B7D36" w:rsidRPr="00DA67F8">
        <w:rPr>
          <w:rStyle w:val="Refdenotaalpie"/>
          <w:rFonts w:ascii="Aptos" w:hAnsi="Aptos" w:cstheme="minorHAnsi"/>
          <w:b/>
        </w:rPr>
        <w:footnoteReference w:id="9"/>
      </w:r>
    </w:p>
    <w:p w14:paraId="4E54950D" w14:textId="77777777" w:rsidR="006B7D36" w:rsidRPr="00DA67F8" w:rsidRDefault="006B7D36" w:rsidP="0076698B">
      <w:pPr>
        <w:pStyle w:val="Sinespaciado"/>
        <w:ind w:left="1416"/>
        <w:jc w:val="both"/>
        <w:rPr>
          <w:rFonts w:ascii="Aptos" w:hAnsi="Aptos"/>
          <w:b/>
          <w:bCs/>
        </w:rPr>
      </w:pPr>
    </w:p>
    <w:sectPr w:rsidR="006B7D36" w:rsidRPr="00DA67F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E6EC0" w14:textId="77777777" w:rsidR="009D4561" w:rsidRDefault="009D4561" w:rsidP="00B8511F">
      <w:pPr>
        <w:spacing w:after="0" w:line="240" w:lineRule="auto"/>
      </w:pPr>
      <w:r>
        <w:separator/>
      </w:r>
    </w:p>
  </w:endnote>
  <w:endnote w:type="continuationSeparator" w:id="0">
    <w:p w14:paraId="3C297DCD" w14:textId="77777777" w:rsidR="009D4561" w:rsidRDefault="009D4561" w:rsidP="00B8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9819989"/>
      <w:docPartObj>
        <w:docPartGallery w:val="Page Numbers (Bottom of Page)"/>
        <w:docPartUnique/>
      </w:docPartObj>
    </w:sdtPr>
    <w:sdtEndPr/>
    <w:sdtContent>
      <w:p w14:paraId="25B64368" w14:textId="513D64B5" w:rsidR="0057585C" w:rsidRDefault="0057585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81DC425" w14:textId="77777777" w:rsidR="0057585C" w:rsidRDefault="005758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E08F7" w14:textId="77777777" w:rsidR="009D4561" w:rsidRDefault="009D4561" w:rsidP="00B8511F">
      <w:pPr>
        <w:spacing w:after="0" w:line="240" w:lineRule="auto"/>
      </w:pPr>
      <w:r>
        <w:separator/>
      </w:r>
    </w:p>
  </w:footnote>
  <w:footnote w:type="continuationSeparator" w:id="0">
    <w:p w14:paraId="20D1BF0F" w14:textId="77777777" w:rsidR="009D4561" w:rsidRDefault="009D4561" w:rsidP="00B8511F">
      <w:pPr>
        <w:spacing w:after="0" w:line="240" w:lineRule="auto"/>
      </w:pPr>
      <w:r>
        <w:continuationSeparator/>
      </w:r>
    </w:p>
  </w:footnote>
  <w:footnote w:id="1">
    <w:p w14:paraId="40A76135" w14:textId="33A14A5C" w:rsidR="00F036A1" w:rsidRPr="00F036A1" w:rsidRDefault="00F036A1" w:rsidP="00F036A1">
      <w:pPr>
        <w:pStyle w:val="Sinespaciado"/>
        <w:jc w:val="both"/>
        <w:rPr>
          <w:rFonts w:cstheme="minorHAnsi"/>
          <w:sz w:val="16"/>
          <w:szCs w:val="16"/>
        </w:rPr>
      </w:pPr>
      <w:r w:rsidRPr="00F036A1">
        <w:rPr>
          <w:rStyle w:val="Refdenotaalpie"/>
          <w:rFonts w:cstheme="minorHAnsi"/>
          <w:sz w:val="16"/>
          <w:szCs w:val="16"/>
        </w:rPr>
        <w:t>*</w:t>
      </w:r>
      <w:r w:rsidRPr="00F036A1">
        <w:rPr>
          <w:rFonts w:cstheme="minorHAnsi"/>
          <w:sz w:val="16"/>
          <w:szCs w:val="16"/>
        </w:rPr>
        <w:t xml:space="preserve"> El autor es abogado especialista en el Derecho Disciplinario en el Perú. Contacto: corporacionhiramsl@gmail.com o móvil y WhatsApp (+51) 959666272</w:t>
      </w:r>
      <w:r>
        <w:rPr>
          <w:rFonts w:cstheme="minorHAnsi"/>
          <w:sz w:val="16"/>
          <w:szCs w:val="16"/>
        </w:rPr>
        <w:t>. Se encuentra en</w:t>
      </w:r>
      <w:r w:rsidRPr="00F036A1">
        <w:rPr>
          <w:rFonts w:cstheme="minorHAnsi"/>
          <w:sz w:val="16"/>
          <w:szCs w:val="16"/>
        </w:rPr>
        <w:t xml:space="preserve"> Lima, Perú.</w:t>
      </w:r>
    </w:p>
  </w:footnote>
  <w:footnote w:id="2">
    <w:p w14:paraId="5FD50672" w14:textId="77777777" w:rsidR="006B7D36" w:rsidRPr="00F036A1" w:rsidRDefault="006B7D36" w:rsidP="007D5416">
      <w:pPr>
        <w:pStyle w:val="Sinespaciado"/>
        <w:jc w:val="both"/>
        <w:rPr>
          <w:rFonts w:cstheme="minorHAnsi"/>
          <w:sz w:val="16"/>
          <w:szCs w:val="16"/>
        </w:rPr>
      </w:pPr>
      <w:r w:rsidRPr="00F036A1">
        <w:rPr>
          <w:rStyle w:val="Refdenotaalpie"/>
          <w:rFonts w:cstheme="minorHAnsi"/>
          <w:sz w:val="16"/>
          <w:szCs w:val="16"/>
        </w:rPr>
        <w:footnoteRef/>
      </w:r>
      <w:r w:rsidRPr="00F036A1">
        <w:rPr>
          <w:rFonts w:cstheme="minorHAnsi"/>
          <w:sz w:val="16"/>
          <w:szCs w:val="16"/>
        </w:rPr>
        <w:t xml:space="preserve"> El Artículo 18, literal a) del Decreto Supremo 008-2010-PCM que indica “El recurso de apelación deberá cumplir con los siguientes requisitos: a) Estar dirigido al órgano que emitió el acto administrativo que se desea impugnar”</w:t>
      </w:r>
    </w:p>
  </w:footnote>
  <w:footnote w:id="3">
    <w:p w14:paraId="16CD5E59" w14:textId="77777777" w:rsidR="008E1F81" w:rsidRPr="00F036A1" w:rsidRDefault="008E1F81" w:rsidP="007D5416">
      <w:pPr>
        <w:pStyle w:val="Sinespaciado"/>
        <w:jc w:val="both"/>
        <w:rPr>
          <w:rFonts w:cstheme="minorHAnsi"/>
          <w:sz w:val="16"/>
          <w:szCs w:val="16"/>
        </w:rPr>
      </w:pPr>
      <w:r w:rsidRPr="00F036A1">
        <w:rPr>
          <w:rStyle w:val="Refdenotaalpie"/>
          <w:rFonts w:cstheme="minorHAnsi"/>
          <w:sz w:val="16"/>
          <w:szCs w:val="16"/>
        </w:rPr>
        <w:footnoteRef/>
      </w:r>
      <w:r w:rsidRPr="00F036A1">
        <w:rPr>
          <w:rFonts w:cstheme="minorHAnsi"/>
          <w:sz w:val="16"/>
          <w:szCs w:val="16"/>
        </w:rPr>
        <w:t xml:space="preserve"> El Artículo 18, literal a) del Decreto Supremo 008-2010-PCM que indica “El recurso de apelación deberá cumplir con los siguientes requisitos”: “b) Identificación del impugnante, debiendo consignar su nombre y apellidos completos, domicilio, domicilio procesal, de preferencia se señalará domicilio procesal dentro del departamento en el que tiene su sede el Tribunal, y el número de documento nacional de identidad o carné de extranjería. En caso de actuación mediante representante, se acompañará el poder respectivo”</w:t>
      </w:r>
    </w:p>
  </w:footnote>
  <w:footnote w:id="4">
    <w:p w14:paraId="66B25AAB" w14:textId="77777777" w:rsidR="006B7D36" w:rsidRPr="00F036A1" w:rsidRDefault="006B7D36" w:rsidP="007D5416">
      <w:pPr>
        <w:pStyle w:val="Sinespaciado"/>
        <w:jc w:val="both"/>
        <w:rPr>
          <w:rFonts w:cstheme="minorHAnsi"/>
          <w:sz w:val="16"/>
          <w:szCs w:val="16"/>
        </w:rPr>
      </w:pPr>
      <w:r w:rsidRPr="00F036A1">
        <w:rPr>
          <w:rStyle w:val="Refdenotaalpie"/>
          <w:rFonts w:cstheme="minorHAnsi"/>
          <w:sz w:val="16"/>
          <w:szCs w:val="16"/>
        </w:rPr>
        <w:footnoteRef/>
      </w:r>
      <w:r w:rsidRPr="00F036A1">
        <w:rPr>
          <w:rFonts w:cstheme="minorHAnsi"/>
          <w:sz w:val="16"/>
          <w:szCs w:val="16"/>
        </w:rPr>
        <w:t xml:space="preserve"> El Artículo 18, literal a) del Decreto Supremo 008-2010-PCM que indica “El recurso de apelación deberá cumplir con los siguientes requisitos”: “c) El petitorio, que comprende la determinación clara y concreta de la pretensión”</w:t>
      </w:r>
    </w:p>
  </w:footnote>
  <w:footnote w:id="5">
    <w:p w14:paraId="761F0E16" w14:textId="4034F029" w:rsidR="00362E3A" w:rsidRPr="00F036A1" w:rsidRDefault="00362E3A" w:rsidP="007D5416">
      <w:pPr>
        <w:pStyle w:val="Textonotapie"/>
        <w:jc w:val="both"/>
        <w:rPr>
          <w:rFonts w:cstheme="minorHAnsi"/>
          <w:sz w:val="16"/>
          <w:szCs w:val="16"/>
        </w:rPr>
      </w:pPr>
      <w:r w:rsidRPr="00F036A1">
        <w:rPr>
          <w:rStyle w:val="Refdenotaalpie"/>
          <w:rFonts w:cstheme="minorHAnsi"/>
          <w:sz w:val="16"/>
          <w:szCs w:val="16"/>
        </w:rPr>
        <w:footnoteRef/>
      </w:r>
      <w:r w:rsidRPr="00F036A1">
        <w:rPr>
          <w:rFonts w:cstheme="minorHAnsi"/>
          <w:sz w:val="16"/>
          <w:szCs w:val="16"/>
        </w:rPr>
        <w:t xml:space="preserve"> </w:t>
      </w:r>
      <w:r w:rsidR="0066143B" w:rsidRPr="00F036A1">
        <w:rPr>
          <w:rFonts w:cstheme="minorHAnsi"/>
          <w:sz w:val="16"/>
          <w:szCs w:val="16"/>
        </w:rPr>
        <w:t xml:space="preserve">Esto conforme al artículo 12.1 del TUO de la Ley 27444 que indica “La declaración de nulidad tendrá </w:t>
      </w:r>
      <w:r w:rsidR="0066143B" w:rsidRPr="00F036A1">
        <w:rPr>
          <w:rFonts w:cstheme="minorHAnsi"/>
          <w:b/>
          <w:bCs/>
          <w:sz w:val="16"/>
          <w:szCs w:val="16"/>
          <w:u w:val="single"/>
        </w:rPr>
        <w:t>efecto declarativo y retroactivo a la fecha del acto</w:t>
      </w:r>
      <w:r w:rsidR="0066143B" w:rsidRPr="00F036A1">
        <w:rPr>
          <w:rFonts w:cstheme="minorHAnsi"/>
          <w:sz w:val="16"/>
          <w:szCs w:val="16"/>
        </w:rPr>
        <w:t>, salvo derechos adquiridos de buena fe por terceros, en cuyo caso operará a futuro”.</w:t>
      </w:r>
    </w:p>
  </w:footnote>
  <w:footnote w:id="6">
    <w:p w14:paraId="634D3ADE" w14:textId="77777777" w:rsidR="006B7D36" w:rsidRPr="00F036A1" w:rsidRDefault="006B7D36" w:rsidP="007D5416">
      <w:pPr>
        <w:pStyle w:val="Sinespaciado"/>
        <w:jc w:val="both"/>
        <w:rPr>
          <w:rFonts w:cstheme="minorHAnsi"/>
          <w:sz w:val="16"/>
          <w:szCs w:val="16"/>
        </w:rPr>
      </w:pPr>
      <w:r w:rsidRPr="00F036A1">
        <w:rPr>
          <w:rStyle w:val="Refdenotaalpie"/>
          <w:rFonts w:cstheme="minorHAnsi"/>
          <w:sz w:val="16"/>
          <w:szCs w:val="16"/>
        </w:rPr>
        <w:footnoteRef/>
      </w:r>
      <w:r w:rsidRPr="00F036A1">
        <w:rPr>
          <w:rFonts w:cstheme="minorHAnsi"/>
          <w:sz w:val="16"/>
          <w:szCs w:val="16"/>
        </w:rPr>
        <w:t xml:space="preserve"> El Artículo 18, literal a) del Decreto Supremo 008-2010-PCM que indica “El recurso de apelación deberá cumplir con los siguientes requisitos”: “d) Los fundamentos de hecho y de derecho que sustentan su petitorio”</w:t>
      </w:r>
    </w:p>
  </w:footnote>
  <w:footnote w:id="7">
    <w:p w14:paraId="24D8544E" w14:textId="77777777" w:rsidR="006B7D36" w:rsidRPr="00F036A1" w:rsidRDefault="006B7D36" w:rsidP="007D5416">
      <w:pPr>
        <w:pStyle w:val="Sinespaciado"/>
        <w:jc w:val="both"/>
        <w:rPr>
          <w:rFonts w:cstheme="minorHAnsi"/>
          <w:sz w:val="16"/>
          <w:szCs w:val="16"/>
        </w:rPr>
      </w:pPr>
      <w:r w:rsidRPr="00F036A1">
        <w:rPr>
          <w:rStyle w:val="Refdenotaalpie"/>
          <w:rFonts w:cstheme="minorHAnsi"/>
          <w:sz w:val="16"/>
          <w:szCs w:val="16"/>
        </w:rPr>
        <w:footnoteRef/>
      </w:r>
      <w:r w:rsidRPr="00F036A1">
        <w:rPr>
          <w:rFonts w:cstheme="minorHAnsi"/>
          <w:sz w:val="16"/>
          <w:szCs w:val="16"/>
        </w:rPr>
        <w:t xml:space="preserve"> El Artículo 20, literal a) del Decreto Supremo 008-2010-PCM indica “</w:t>
      </w:r>
      <w:r w:rsidRPr="00F036A1">
        <w:rPr>
          <w:rFonts w:cstheme="minorHAnsi"/>
          <w:color w:val="000000"/>
          <w:sz w:val="16"/>
          <w:szCs w:val="16"/>
        </w:rPr>
        <w:t xml:space="preserve">El recurso de apelación se tramita conforme a las siguientes reglas: </w:t>
      </w:r>
      <w:r w:rsidRPr="00F036A1">
        <w:rPr>
          <w:rFonts w:eastAsia="Times New Roman" w:cstheme="minorHAnsi"/>
          <w:color w:val="000000"/>
          <w:sz w:val="16"/>
          <w:szCs w:val="16"/>
          <w:lang w:eastAsia="es-PE"/>
        </w:rPr>
        <w:t>a) Verificados los requisitos de admisión del recurso de apelación, la Entidad deberá remitirlo al Tribunal, conjuntamente con los antecedentes que sustentaron la emisión del acto impugnado, incluyendo el informe escalafonario, y en el caso de acceso al servicio, deberá incluirse las bases del concurso.”</w:t>
      </w:r>
    </w:p>
  </w:footnote>
  <w:footnote w:id="8">
    <w:p w14:paraId="1A26FF44" w14:textId="77777777" w:rsidR="006B7D36" w:rsidRPr="00F036A1" w:rsidRDefault="006B7D36" w:rsidP="007D5416">
      <w:pPr>
        <w:pStyle w:val="Sinespaciado"/>
        <w:jc w:val="both"/>
        <w:rPr>
          <w:rFonts w:cstheme="minorHAnsi"/>
          <w:sz w:val="16"/>
          <w:szCs w:val="16"/>
        </w:rPr>
      </w:pPr>
      <w:r w:rsidRPr="00F036A1">
        <w:rPr>
          <w:rStyle w:val="Refdenotaalpie"/>
          <w:rFonts w:cstheme="minorHAnsi"/>
          <w:sz w:val="16"/>
          <w:szCs w:val="16"/>
        </w:rPr>
        <w:footnoteRef/>
      </w:r>
      <w:r w:rsidRPr="00F036A1">
        <w:rPr>
          <w:rFonts w:cstheme="minorHAnsi"/>
          <w:sz w:val="16"/>
          <w:szCs w:val="16"/>
        </w:rPr>
        <w:t xml:space="preserve"> El Artículo 18, literal a) del Decreto Supremo 008-2010-PCM que indica “El recurso de apelación deberá cumplir con los siguientes requisitos”: “g) La firma del impugnante o de su representante”</w:t>
      </w:r>
    </w:p>
  </w:footnote>
  <w:footnote w:id="9">
    <w:p w14:paraId="651B9FC1" w14:textId="7EF562F0" w:rsidR="006B7D36" w:rsidRPr="00F036A1" w:rsidRDefault="006B7D36" w:rsidP="007D5416">
      <w:pPr>
        <w:pStyle w:val="Sinespaciado"/>
        <w:jc w:val="both"/>
        <w:rPr>
          <w:rFonts w:cstheme="minorHAnsi"/>
          <w:sz w:val="16"/>
          <w:szCs w:val="16"/>
        </w:rPr>
      </w:pPr>
      <w:r w:rsidRPr="00F036A1">
        <w:rPr>
          <w:rStyle w:val="Refdenotaalpie"/>
          <w:rFonts w:cstheme="minorHAnsi"/>
          <w:sz w:val="16"/>
          <w:szCs w:val="16"/>
        </w:rPr>
        <w:footnoteRef/>
      </w:r>
      <w:r w:rsidRPr="00F036A1">
        <w:rPr>
          <w:rFonts w:cstheme="minorHAnsi"/>
          <w:sz w:val="16"/>
          <w:szCs w:val="16"/>
        </w:rPr>
        <w:t xml:space="preserve"> El Artículo 18, literal a) del Decreto Supremo 008-2010-PCM que indica “El recurso de apelación deberá cumplir con los siguientes requisitos”: “h) La firma de abogado habilitado por el colegio profesional al momento de ejercer la defensa, debiendo consignarse el registro correspondiente</w:t>
      </w:r>
      <w:r w:rsidR="00826602" w:rsidRPr="00F036A1">
        <w:rPr>
          <w:rFonts w:cstheme="minorHAnsi"/>
          <w:sz w:val="16"/>
          <w:szCs w:val="16"/>
        </w:rPr>
        <w:t>”</w:t>
      </w:r>
      <w:r w:rsidRPr="00F036A1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F7E1D" w14:textId="77777777" w:rsidR="00B8511F" w:rsidRPr="00115EB8" w:rsidRDefault="00B8511F" w:rsidP="00B851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b/>
        <w:color w:val="000000"/>
        <w:sz w:val="34"/>
        <w:szCs w:val="34"/>
      </w:rPr>
    </w:pPr>
    <w:r w:rsidRPr="00115EB8">
      <w:rPr>
        <w:b/>
        <w:color w:val="000000"/>
        <w:sz w:val="34"/>
        <w:szCs w:val="34"/>
      </w:rPr>
      <w:t>Estudio de Abogados</w:t>
    </w:r>
  </w:p>
  <w:p w14:paraId="4EB5E771" w14:textId="77777777" w:rsidR="00B8511F" w:rsidRPr="00115EB8" w:rsidRDefault="00B8511F" w:rsidP="00B851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b/>
        <w:color w:val="000000"/>
        <w:sz w:val="34"/>
        <w:szCs w:val="34"/>
      </w:rPr>
    </w:pPr>
    <w:r w:rsidRPr="00115EB8">
      <w:rPr>
        <w:noProof/>
        <w:color w:val="000000"/>
        <w:sz w:val="34"/>
        <w:szCs w:val="34"/>
      </w:rPr>
      <w:drawing>
        <wp:anchor distT="0" distB="0" distL="114300" distR="114300" simplePos="0" relativeHeight="251659264" behindDoc="0" locked="0" layoutInCell="1" hidden="0" allowOverlap="1" wp14:anchorId="25325507" wp14:editId="16F4A6B7">
          <wp:simplePos x="0" y="0"/>
          <wp:positionH relativeFrom="margin">
            <wp:posOffset>-12283</wp:posOffset>
          </wp:positionH>
          <wp:positionV relativeFrom="margin">
            <wp:posOffset>-967411</wp:posOffset>
          </wp:positionV>
          <wp:extent cx="696595" cy="690880"/>
          <wp:effectExtent l="0" t="0" r="0" b="0"/>
          <wp:wrapSquare wrapText="bothSides" distT="0" distB="0" distL="114300" distR="114300"/>
          <wp:docPr id="23" name="image10.png" descr="simbolo-masoni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 descr="simbolo-masonic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595" cy="690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15EB8">
      <w:rPr>
        <w:b/>
        <w:color w:val="000000"/>
        <w:sz w:val="34"/>
        <w:szCs w:val="34"/>
      </w:rPr>
      <w:t>CORPORACIÓN HIRAM SERVICIOS LEGALES</w:t>
    </w:r>
  </w:p>
  <w:p w14:paraId="337CA9C7" w14:textId="77777777" w:rsidR="00B8511F" w:rsidRPr="00115EB8" w:rsidRDefault="00B8511F" w:rsidP="00B851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6"/>
        <w:szCs w:val="26"/>
      </w:rPr>
    </w:pPr>
    <w:r w:rsidRPr="00115EB8">
      <w:rPr>
        <w:color w:val="000000"/>
        <w:sz w:val="26"/>
        <w:szCs w:val="26"/>
      </w:rPr>
      <w:t>corporacionhiramservicioslegales.com</w:t>
    </w:r>
  </w:p>
  <w:p w14:paraId="5089F4F5" w14:textId="77777777" w:rsidR="00B8511F" w:rsidRPr="00115EB8" w:rsidRDefault="00B8511F" w:rsidP="00B851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4"/>
        <w:szCs w:val="24"/>
      </w:rPr>
    </w:pPr>
    <w:r w:rsidRPr="00115EB8">
      <w:rPr>
        <w:color w:val="000000"/>
        <w:sz w:val="24"/>
        <w:szCs w:val="24"/>
      </w:rPr>
      <w:t>Abogado José María Pacori Cari</w:t>
    </w:r>
  </w:p>
  <w:p w14:paraId="578747A6" w14:textId="77777777" w:rsidR="00B8511F" w:rsidRPr="00115EB8" w:rsidRDefault="00B8511F" w:rsidP="00B851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  <w:r w:rsidRPr="00115EB8">
      <w:rPr>
        <w:color w:val="000000"/>
        <w:sz w:val="20"/>
        <w:szCs w:val="20"/>
      </w:rPr>
      <w:t>Teléfono</w:t>
    </w:r>
    <w:r>
      <w:rPr>
        <w:color w:val="000000"/>
        <w:sz w:val="20"/>
        <w:szCs w:val="20"/>
      </w:rPr>
      <w:t xml:space="preserve"> y WhatsApp</w:t>
    </w:r>
    <w:r w:rsidRPr="00115EB8">
      <w:rPr>
        <w:color w:val="000000"/>
        <w:sz w:val="20"/>
        <w:szCs w:val="20"/>
      </w:rPr>
      <w:t xml:space="preserve"> 959666272</w:t>
    </w:r>
  </w:p>
  <w:p w14:paraId="1BB07A92" w14:textId="78D68F85" w:rsidR="00B8511F" w:rsidRPr="00B8511F" w:rsidRDefault="00B8511F" w:rsidP="00B851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40"/>
        <w:szCs w:val="40"/>
      </w:rPr>
    </w:pPr>
    <w:r>
      <w:rPr>
        <w:color w:val="000000"/>
        <w:sz w:val="40"/>
        <w:szCs w:val="40"/>
      </w:rPr>
      <w:t>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16"/>
    <w:rsid w:val="00000BB0"/>
    <w:rsid w:val="000021AF"/>
    <w:rsid w:val="000048E8"/>
    <w:rsid w:val="0001589A"/>
    <w:rsid w:val="00017D41"/>
    <w:rsid w:val="00036D7B"/>
    <w:rsid w:val="00036E43"/>
    <w:rsid w:val="00040B9C"/>
    <w:rsid w:val="0007145B"/>
    <w:rsid w:val="00082B20"/>
    <w:rsid w:val="00084331"/>
    <w:rsid w:val="00090D07"/>
    <w:rsid w:val="00097E2B"/>
    <w:rsid w:val="000C7AE2"/>
    <w:rsid w:val="000E4725"/>
    <w:rsid w:val="000E6A13"/>
    <w:rsid w:val="00102087"/>
    <w:rsid w:val="00107F32"/>
    <w:rsid w:val="00112A22"/>
    <w:rsid w:val="00112B34"/>
    <w:rsid w:val="0012631A"/>
    <w:rsid w:val="00127591"/>
    <w:rsid w:val="00132CBE"/>
    <w:rsid w:val="001424D4"/>
    <w:rsid w:val="0014417D"/>
    <w:rsid w:val="00161974"/>
    <w:rsid w:val="001741BB"/>
    <w:rsid w:val="00176DAF"/>
    <w:rsid w:val="001800D8"/>
    <w:rsid w:val="0018020D"/>
    <w:rsid w:val="00183446"/>
    <w:rsid w:val="001927E2"/>
    <w:rsid w:val="001A0846"/>
    <w:rsid w:val="001A1CA3"/>
    <w:rsid w:val="001B03B1"/>
    <w:rsid w:val="001B5196"/>
    <w:rsid w:val="001C0AED"/>
    <w:rsid w:val="001D12D4"/>
    <w:rsid w:val="001F526B"/>
    <w:rsid w:val="00210A18"/>
    <w:rsid w:val="00214374"/>
    <w:rsid w:val="00226BE9"/>
    <w:rsid w:val="00235A16"/>
    <w:rsid w:val="002414C0"/>
    <w:rsid w:val="00253B89"/>
    <w:rsid w:val="0026092C"/>
    <w:rsid w:val="0026409A"/>
    <w:rsid w:val="00286D55"/>
    <w:rsid w:val="0029446D"/>
    <w:rsid w:val="002A3353"/>
    <w:rsid w:val="002A519C"/>
    <w:rsid w:val="002A795F"/>
    <w:rsid w:val="002B4A9F"/>
    <w:rsid w:val="002C5780"/>
    <w:rsid w:val="002C7697"/>
    <w:rsid w:val="002E06C7"/>
    <w:rsid w:val="002E1A35"/>
    <w:rsid w:val="002E6601"/>
    <w:rsid w:val="002F1415"/>
    <w:rsid w:val="002F772D"/>
    <w:rsid w:val="00301948"/>
    <w:rsid w:val="00301CA9"/>
    <w:rsid w:val="0030458A"/>
    <w:rsid w:val="00305CC0"/>
    <w:rsid w:val="0033158A"/>
    <w:rsid w:val="00347DEB"/>
    <w:rsid w:val="003508A6"/>
    <w:rsid w:val="00353A58"/>
    <w:rsid w:val="003565D5"/>
    <w:rsid w:val="00357DB7"/>
    <w:rsid w:val="00362E3A"/>
    <w:rsid w:val="00367989"/>
    <w:rsid w:val="00376D7B"/>
    <w:rsid w:val="00382731"/>
    <w:rsid w:val="003A4DBD"/>
    <w:rsid w:val="003A57A6"/>
    <w:rsid w:val="003A7024"/>
    <w:rsid w:val="003B4216"/>
    <w:rsid w:val="003C2031"/>
    <w:rsid w:val="003C5889"/>
    <w:rsid w:val="003E62B6"/>
    <w:rsid w:val="003F1CD0"/>
    <w:rsid w:val="00403A0D"/>
    <w:rsid w:val="004172AA"/>
    <w:rsid w:val="004367A3"/>
    <w:rsid w:val="00456CB0"/>
    <w:rsid w:val="00460C6A"/>
    <w:rsid w:val="0046249F"/>
    <w:rsid w:val="00474F6D"/>
    <w:rsid w:val="00476F9C"/>
    <w:rsid w:val="004811F8"/>
    <w:rsid w:val="004B610F"/>
    <w:rsid w:val="004C2E5C"/>
    <w:rsid w:val="004D36A2"/>
    <w:rsid w:val="004D5CAB"/>
    <w:rsid w:val="004E18CB"/>
    <w:rsid w:val="00501AC5"/>
    <w:rsid w:val="00505E91"/>
    <w:rsid w:val="005067D2"/>
    <w:rsid w:val="0050727D"/>
    <w:rsid w:val="00525ED3"/>
    <w:rsid w:val="005314EE"/>
    <w:rsid w:val="00537564"/>
    <w:rsid w:val="0054124D"/>
    <w:rsid w:val="00542998"/>
    <w:rsid w:val="00546AFB"/>
    <w:rsid w:val="00562A7F"/>
    <w:rsid w:val="00574540"/>
    <w:rsid w:val="0057585C"/>
    <w:rsid w:val="00596D4C"/>
    <w:rsid w:val="005B38ED"/>
    <w:rsid w:val="005B5153"/>
    <w:rsid w:val="005C4408"/>
    <w:rsid w:val="005D0D43"/>
    <w:rsid w:val="005D6626"/>
    <w:rsid w:val="005E5DF1"/>
    <w:rsid w:val="00604CE3"/>
    <w:rsid w:val="00604DC0"/>
    <w:rsid w:val="00606EC1"/>
    <w:rsid w:val="006246FE"/>
    <w:rsid w:val="00633807"/>
    <w:rsid w:val="00637C7F"/>
    <w:rsid w:val="00647BB1"/>
    <w:rsid w:val="00660254"/>
    <w:rsid w:val="0066143B"/>
    <w:rsid w:val="0066253C"/>
    <w:rsid w:val="00664D9A"/>
    <w:rsid w:val="00681F99"/>
    <w:rsid w:val="0068316E"/>
    <w:rsid w:val="006879EC"/>
    <w:rsid w:val="006930A9"/>
    <w:rsid w:val="006946C7"/>
    <w:rsid w:val="006B002F"/>
    <w:rsid w:val="006B7D36"/>
    <w:rsid w:val="006C4CE9"/>
    <w:rsid w:val="006D6FDD"/>
    <w:rsid w:val="006D7D8C"/>
    <w:rsid w:val="006F12EA"/>
    <w:rsid w:val="006F2AE3"/>
    <w:rsid w:val="006F7E8A"/>
    <w:rsid w:val="007166FB"/>
    <w:rsid w:val="00717604"/>
    <w:rsid w:val="00721FD4"/>
    <w:rsid w:val="00740E61"/>
    <w:rsid w:val="00741664"/>
    <w:rsid w:val="00743D2A"/>
    <w:rsid w:val="007470A8"/>
    <w:rsid w:val="00752D79"/>
    <w:rsid w:val="00757F6A"/>
    <w:rsid w:val="007640FE"/>
    <w:rsid w:val="0076698B"/>
    <w:rsid w:val="00767697"/>
    <w:rsid w:val="0077300B"/>
    <w:rsid w:val="00775F89"/>
    <w:rsid w:val="0077762E"/>
    <w:rsid w:val="00783191"/>
    <w:rsid w:val="00784999"/>
    <w:rsid w:val="00790D53"/>
    <w:rsid w:val="007A28A8"/>
    <w:rsid w:val="007A2DE0"/>
    <w:rsid w:val="007A3201"/>
    <w:rsid w:val="007C742A"/>
    <w:rsid w:val="007D01E6"/>
    <w:rsid w:val="007D1CBF"/>
    <w:rsid w:val="007D298B"/>
    <w:rsid w:val="007D5416"/>
    <w:rsid w:val="007E1BD8"/>
    <w:rsid w:val="007E4301"/>
    <w:rsid w:val="00805A85"/>
    <w:rsid w:val="00822594"/>
    <w:rsid w:val="00823697"/>
    <w:rsid w:val="00824D3D"/>
    <w:rsid w:val="00826602"/>
    <w:rsid w:val="00831BDF"/>
    <w:rsid w:val="0084126A"/>
    <w:rsid w:val="00855CA6"/>
    <w:rsid w:val="008574C0"/>
    <w:rsid w:val="008641C7"/>
    <w:rsid w:val="00874C0D"/>
    <w:rsid w:val="00884923"/>
    <w:rsid w:val="00891576"/>
    <w:rsid w:val="008922FD"/>
    <w:rsid w:val="00892769"/>
    <w:rsid w:val="0089339A"/>
    <w:rsid w:val="00895898"/>
    <w:rsid w:val="00895F79"/>
    <w:rsid w:val="008A6BE1"/>
    <w:rsid w:val="008A6E7D"/>
    <w:rsid w:val="008B3BC4"/>
    <w:rsid w:val="008C35F8"/>
    <w:rsid w:val="008C7FD8"/>
    <w:rsid w:val="008D0964"/>
    <w:rsid w:val="008E0196"/>
    <w:rsid w:val="008E1F81"/>
    <w:rsid w:val="008F7DDF"/>
    <w:rsid w:val="00911851"/>
    <w:rsid w:val="0091661E"/>
    <w:rsid w:val="00956D4C"/>
    <w:rsid w:val="009647D6"/>
    <w:rsid w:val="009824CF"/>
    <w:rsid w:val="00997E61"/>
    <w:rsid w:val="009A14D1"/>
    <w:rsid w:val="009B4260"/>
    <w:rsid w:val="009D3E39"/>
    <w:rsid w:val="009D4561"/>
    <w:rsid w:val="009E0F3D"/>
    <w:rsid w:val="009E1E7A"/>
    <w:rsid w:val="009E3BC7"/>
    <w:rsid w:val="009F22CD"/>
    <w:rsid w:val="00A03B37"/>
    <w:rsid w:val="00A37D92"/>
    <w:rsid w:val="00A418E3"/>
    <w:rsid w:val="00A53CC4"/>
    <w:rsid w:val="00A64039"/>
    <w:rsid w:val="00A7039F"/>
    <w:rsid w:val="00A74066"/>
    <w:rsid w:val="00A76458"/>
    <w:rsid w:val="00A80742"/>
    <w:rsid w:val="00A841A2"/>
    <w:rsid w:val="00A87C2B"/>
    <w:rsid w:val="00AB18F0"/>
    <w:rsid w:val="00AB7AEC"/>
    <w:rsid w:val="00AC18A3"/>
    <w:rsid w:val="00AC4CE5"/>
    <w:rsid w:val="00AD7A51"/>
    <w:rsid w:val="00AE6B56"/>
    <w:rsid w:val="00AF7130"/>
    <w:rsid w:val="00B1336F"/>
    <w:rsid w:val="00B142CD"/>
    <w:rsid w:val="00B3065E"/>
    <w:rsid w:val="00B67CB7"/>
    <w:rsid w:val="00B8511F"/>
    <w:rsid w:val="00B86495"/>
    <w:rsid w:val="00BA0445"/>
    <w:rsid w:val="00BA1FAF"/>
    <w:rsid w:val="00BB38A4"/>
    <w:rsid w:val="00BE2D40"/>
    <w:rsid w:val="00BE375F"/>
    <w:rsid w:val="00BE6881"/>
    <w:rsid w:val="00BF72EB"/>
    <w:rsid w:val="00C01978"/>
    <w:rsid w:val="00C069B3"/>
    <w:rsid w:val="00C14465"/>
    <w:rsid w:val="00C20007"/>
    <w:rsid w:val="00C20B54"/>
    <w:rsid w:val="00C31F71"/>
    <w:rsid w:val="00C34F74"/>
    <w:rsid w:val="00C35385"/>
    <w:rsid w:val="00C523C6"/>
    <w:rsid w:val="00C55C75"/>
    <w:rsid w:val="00C60351"/>
    <w:rsid w:val="00C62793"/>
    <w:rsid w:val="00C64F83"/>
    <w:rsid w:val="00C8157A"/>
    <w:rsid w:val="00CA5E82"/>
    <w:rsid w:val="00CC2C36"/>
    <w:rsid w:val="00CD0840"/>
    <w:rsid w:val="00CD5CB2"/>
    <w:rsid w:val="00CF4898"/>
    <w:rsid w:val="00D03BF0"/>
    <w:rsid w:val="00D12E73"/>
    <w:rsid w:val="00D274A7"/>
    <w:rsid w:val="00D31293"/>
    <w:rsid w:val="00D31D33"/>
    <w:rsid w:val="00D36B54"/>
    <w:rsid w:val="00D42166"/>
    <w:rsid w:val="00D4358D"/>
    <w:rsid w:val="00D45F33"/>
    <w:rsid w:val="00D52136"/>
    <w:rsid w:val="00D64C16"/>
    <w:rsid w:val="00D661BA"/>
    <w:rsid w:val="00D90C54"/>
    <w:rsid w:val="00DA3132"/>
    <w:rsid w:val="00DA67F8"/>
    <w:rsid w:val="00DB55D9"/>
    <w:rsid w:val="00DB7079"/>
    <w:rsid w:val="00DB7149"/>
    <w:rsid w:val="00DD0979"/>
    <w:rsid w:val="00DD458F"/>
    <w:rsid w:val="00DD6201"/>
    <w:rsid w:val="00DE18FA"/>
    <w:rsid w:val="00E027AF"/>
    <w:rsid w:val="00E25452"/>
    <w:rsid w:val="00E36719"/>
    <w:rsid w:val="00E376CC"/>
    <w:rsid w:val="00E41BD4"/>
    <w:rsid w:val="00E54A03"/>
    <w:rsid w:val="00E936B8"/>
    <w:rsid w:val="00E95380"/>
    <w:rsid w:val="00EB1651"/>
    <w:rsid w:val="00ED4727"/>
    <w:rsid w:val="00ED734C"/>
    <w:rsid w:val="00EE6223"/>
    <w:rsid w:val="00EF1E59"/>
    <w:rsid w:val="00EF58BF"/>
    <w:rsid w:val="00F036A1"/>
    <w:rsid w:val="00F038F7"/>
    <w:rsid w:val="00F06131"/>
    <w:rsid w:val="00F215B2"/>
    <w:rsid w:val="00F4354A"/>
    <w:rsid w:val="00F52AEC"/>
    <w:rsid w:val="00F70FC6"/>
    <w:rsid w:val="00F810CC"/>
    <w:rsid w:val="00F8365F"/>
    <w:rsid w:val="00FA325F"/>
    <w:rsid w:val="00FA7257"/>
    <w:rsid w:val="00FB0B3E"/>
    <w:rsid w:val="00FB3D91"/>
    <w:rsid w:val="00FB4B32"/>
    <w:rsid w:val="00FB7A2D"/>
    <w:rsid w:val="00FB7E46"/>
    <w:rsid w:val="00FD07C2"/>
    <w:rsid w:val="00FE6B66"/>
    <w:rsid w:val="00FF1B4F"/>
    <w:rsid w:val="00FF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75C5D1"/>
  <w15:chartTrackingRefBased/>
  <w15:docId w15:val="{2C2278C3-3779-4958-9B35-16C711D0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74C0"/>
    <w:pPr>
      <w:ind w:left="720"/>
      <w:contextualSpacing/>
    </w:pPr>
  </w:style>
  <w:style w:type="table" w:styleId="Tablaconcuadrcula">
    <w:name w:val="Table Grid"/>
    <w:basedOn w:val="Tablanormal"/>
    <w:uiPriority w:val="39"/>
    <w:rsid w:val="005E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DB714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85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511F"/>
  </w:style>
  <w:style w:type="paragraph" w:styleId="Piedepgina">
    <w:name w:val="footer"/>
    <w:basedOn w:val="Normal"/>
    <w:link w:val="PiedepginaCar"/>
    <w:uiPriority w:val="99"/>
    <w:unhideWhenUsed/>
    <w:rsid w:val="00B85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11F"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57585C"/>
  </w:style>
  <w:style w:type="character" w:styleId="Hipervnculo">
    <w:name w:val="Hyperlink"/>
    <w:basedOn w:val="Fuentedeprrafopredeter"/>
    <w:uiPriority w:val="99"/>
    <w:unhideWhenUsed/>
    <w:rsid w:val="001F526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526B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unhideWhenUsed/>
    <w:rsid w:val="006B7D3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62E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2E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EAE13-3D91-4A25-86EF-C55509BD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1687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Corporación Hiram Servicios legales</dc:creator>
  <cp:keywords/>
  <dc:description/>
  <cp:lastModifiedBy>Corporación Hiram Servicios legales</cp:lastModifiedBy>
  <cp:revision>30</cp:revision>
  <dcterms:created xsi:type="dcterms:W3CDTF">2025-07-08T15:08:00Z</dcterms:created>
  <dcterms:modified xsi:type="dcterms:W3CDTF">2025-07-09T05:04:00Z</dcterms:modified>
</cp:coreProperties>
</file>