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7F6C" w14:textId="7946DBD1" w:rsidR="00B12F03" w:rsidRPr="00B02203" w:rsidRDefault="00B12F03" w:rsidP="009778D5">
      <w:pPr>
        <w:pStyle w:val="Sinespaciado"/>
        <w:jc w:val="center"/>
        <w:rPr>
          <w:rFonts w:ascii="Garamond" w:hAnsi="Garamond"/>
          <w:b/>
          <w:bCs/>
          <w:sz w:val="28"/>
          <w:szCs w:val="28"/>
        </w:rPr>
      </w:pPr>
      <w:r w:rsidRPr="00B02203">
        <w:rPr>
          <w:rFonts w:ascii="Garamond" w:hAnsi="Garamond"/>
          <w:b/>
          <w:bCs/>
          <w:sz w:val="28"/>
          <w:szCs w:val="28"/>
        </w:rPr>
        <w:t xml:space="preserve">LA NIVELACIÓN DE REMUNERACIONES </w:t>
      </w:r>
      <w:r w:rsidR="00774325" w:rsidRPr="00B02203">
        <w:rPr>
          <w:rFonts w:ascii="Garamond" w:hAnsi="Garamond"/>
          <w:b/>
          <w:bCs/>
          <w:sz w:val="28"/>
          <w:szCs w:val="28"/>
        </w:rPr>
        <w:t>EN EL SECTOR PÚBLICO</w:t>
      </w:r>
    </w:p>
    <w:p w14:paraId="4F324F26" w14:textId="77777777" w:rsidR="009778D5" w:rsidRDefault="009778D5" w:rsidP="009778D5">
      <w:pPr>
        <w:pStyle w:val="Sinespaciado"/>
        <w:jc w:val="center"/>
        <w:rPr>
          <w:rFonts w:ascii="Garamond" w:hAnsi="Garamond"/>
          <w:b/>
          <w:bCs/>
          <w:sz w:val="24"/>
          <w:szCs w:val="24"/>
        </w:rPr>
      </w:pPr>
    </w:p>
    <w:p w14:paraId="5A707B6F" w14:textId="20A291A0" w:rsidR="002E3BC0" w:rsidRPr="009778D5" w:rsidRDefault="002E3BC0" w:rsidP="009778D5">
      <w:pPr>
        <w:pStyle w:val="Sinespaciado"/>
        <w:jc w:val="center"/>
        <w:rPr>
          <w:rFonts w:ascii="Garamond" w:hAnsi="Garamond"/>
          <w:b/>
          <w:bCs/>
          <w:sz w:val="24"/>
          <w:szCs w:val="24"/>
        </w:rPr>
      </w:pPr>
      <w:r>
        <w:rPr>
          <w:rFonts w:ascii="Garamond" w:hAnsi="Garamond"/>
          <w:b/>
          <w:bCs/>
          <w:sz w:val="24"/>
          <w:szCs w:val="24"/>
        </w:rPr>
        <w:t>Percibir una remuneración conforme a la escala remunerativa estatal</w:t>
      </w:r>
    </w:p>
    <w:p w14:paraId="266B9A19" w14:textId="77777777" w:rsidR="00774325" w:rsidRDefault="00774325" w:rsidP="00774325">
      <w:pPr>
        <w:pStyle w:val="Sinespaciado"/>
        <w:jc w:val="both"/>
        <w:rPr>
          <w:rFonts w:ascii="Garamond" w:hAnsi="Garamond"/>
          <w:sz w:val="24"/>
          <w:szCs w:val="24"/>
        </w:rPr>
      </w:pPr>
    </w:p>
    <w:p w14:paraId="27C0CB51" w14:textId="3F7A9267" w:rsidR="00A10BB6" w:rsidRDefault="00A10BB6" w:rsidP="005D2246">
      <w:pPr>
        <w:pStyle w:val="Sinespaciado"/>
        <w:jc w:val="center"/>
        <w:rPr>
          <w:rFonts w:ascii="Garamond" w:hAnsi="Garamond"/>
          <w:b/>
          <w:bCs/>
          <w:sz w:val="24"/>
          <w:szCs w:val="24"/>
          <w:lang w:val="en-US"/>
        </w:rPr>
      </w:pPr>
      <w:r w:rsidRPr="00A10BB6">
        <w:rPr>
          <w:rFonts w:ascii="Garamond" w:hAnsi="Garamond"/>
          <w:sz w:val="24"/>
          <w:szCs w:val="24"/>
          <w:lang w:val="en-US"/>
        </w:rPr>
        <w:t>[</w:t>
      </w:r>
      <w:r w:rsidRPr="00A10BB6">
        <w:rPr>
          <w:rFonts w:ascii="Garamond" w:hAnsi="Garamond"/>
          <w:b/>
          <w:bCs/>
          <w:sz w:val="24"/>
          <w:szCs w:val="24"/>
          <w:lang w:val="en-US"/>
        </w:rPr>
        <w:t>THE EQUALIZATION OF REMUNERATIONS IN THE PUBLIC SECTOR</w:t>
      </w:r>
      <w:r w:rsidR="005D2246">
        <w:rPr>
          <w:rFonts w:ascii="Garamond" w:hAnsi="Garamond"/>
          <w:b/>
          <w:bCs/>
          <w:sz w:val="24"/>
          <w:szCs w:val="24"/>
          <w:lang w:val="en-US"/>
        </w:rPr>
        <w:t xml:space="preserve"> -</w:t>
      </w:r>
      <w:r w:rsidRPr="00A10BB6">
        <w:rPr>
          <w:rFonts w:ascii="Garamond" w:hAnsi="Garamond"/>
          <w:b/>
          <w:bCs/>
          <w:sz w:val="24"/>
          <w:szCs w:val="24"/>
          <w:lang w:val="en-US"/>
        </w:rPr>
        <w:t xml:space="preserve"> Receiving compensation in accordance with the state remuneration scale</w:t>
      </w:r>
      <w:r>
        <w:rPr>
          <w:rFonts w:ascii="Garamond" w:hAnsi="Garamond"/>
          <w:b/>
          <w:bCs/>
          <w:sz w:val="24"/>
          <w:szCs w:val="24"/>
          <w:lang w:val="en-US"/>
        </w:rPr>
        <w:t>]</w:t>
      </w:r>
    </w:p>
    <w:p w14:paraId="691789B5" w14:textId="77777777" w:rsidR="005D2246" w:rsidRPr="00A10BB6" w:rsidRDefault="005D2246" w:rsidP="005D2246">
      <w:pPr>
        <w:pStyle w:val="Sinespaciado"/>
        <w:jc w:val="center"/>
        <w:rPr>
          <w:rFonts w:ascii="Garamond" w:hAnsi="Garamond"/>
          <w:sz w:val="24"/>
          <w:szCs w:val="24"/>
          <w:lang w:val="en-US"/>
        </w:rPr>
      </w:pPr>
    </w:p>
    <w:p w14:paraId="7093CB13" w14:textId="77777777" w:rsidR="0095694F" w:rsidRPr="00851930" w:rsidRDefault="0095694F" w:rsidP="0095694F">
      <w:pPr>
        <w:pStyle w:val="Sinespaciado"/>
        <w:jc w:val="center"/>
        <w:rPr>
          <w:rFonts w:ascii="Garamond" w:hAnsi="Garamond"/>
          <w:b/>
          <w:sz w:val="28"/>
          <w:szCs w:val="28"/>
        </w:rPr>
      </w:pPr>
      <w:r w:rsidRPr="00851930">
        <w:rPr>
          <w:rFonts w:ascii="Garamond" w:hAnsi="Garamond"/>
          <w:b/>
          <w:sz w:val="28"/>
          <w:szCs w:val="28"/>
        </w:rPr>
        <w:t>José María Pacori Cari</w:t>
      </w:r>
      <w:r w:rsidRPr="003D1192">
        <w:rPr>
          <w:rStyle w:val="Refdenotaalpie"/>
          <w:rFonts w:ascii="Garamond" w:hAnsi="Garamond"/>
          <w:sz w:val="28"/>
          <w:szCs w:val="28"/>
        </w:rPr>
        <w:footnoteReference w:customMarkFollows="1" w:id="1"/>
        <w:t>*</w:t>
      </w:r>
    </w:p>
    <w:p w14:paraId="70E290D5" w14:textId="77777777" w:rsidR="0095694F" w:rsidRPr="00851930" w:rsidRDefault="0095694F" w:rsidP="0095694F">
      <w:pPr>
        <w:pStyle w:val="Sinespaciado"/>
        <w:jc w:val="both"/>
        <w:rPr>
          <w:rFonts w:ascii="Garamond" w:hAnsi="Garamond"/>
          <w:sz w:val="24"/>
          <w:szCs w:val="24"/>
        </w:rPr>
      </w:pPr>
    </w:p>
    <w:p w14:paraId="3EDB422D" w14:textId="77777777" w:rsidR="0095694F" w:rsidRPr="007A650F" w:rsidRDefault="0095694F" w:rsidP="0095694F">
      <w:pPr>
        <w:pStyle w:val="Sinespaciado"/>
        <w:jc w:val="center"/>
        <w:rPr>
          <w:rFonts w:ascii="Garamond" w:hAnsi="Garamond"/>
          <w:b/>
          <w:sz w:val="16"/>
          <w:szCs w:val="16"/>
        </w:rPr>
      </w:pPr>
      <w:r w:rsidRPr="00851930">
        <w:rPr>
          <w:rFonts w:ascii="Garamond" w:hAnsi="Garamond"/>
          <w:b/>
          <w:sz w:val="16"/>
          <w:szCs w:val="16"/>
        </w:rPr>
        <w:t xml:space="preserve">Maestro en Ciencias Políticas y Derecho Administrativo por la Universidad Nacional de San Agustín. Miembro de la Asociación Argentina de Derecho Administrativo. Socio de la Asociación Española de Derecho del Trabajo y de la Seguridad Social. Columnista en el Suplemento “La Gaceta Jurídica” del Diario La Razón en Bolivia. Fue Catedrático de Derecho Administrativo en la Universidad La Salle del Perú; Catedrático de Derecho del Trabajo, Derecho de la Seguridad Social y Derecho Comercial en la Universidad José Carlos Mariátegui del Perú. Miembro del Ilustre Colegio de Abogados de Arequipa en el Perú. Docente de LP el portal jurídico del Perú. </w:t>
      </w:r>
      <w:proofErr w:type="spellStart"/>
      <w:r w:rsidRPr="00851930">
        <w:rPr>
          <w:rFonts w:ascii="Garamond" w:hAnsi="Garamond"/>
          <w:b/>
          <w:sz w:val="16"/>
          <w:szCs w:val="16"/>
        </w:rPr>
        <w:t>Member</w:t>
      </w:r>
      <w:proofErr w:type="spellEnd"/>
      <w:r w:rsidRPr="00851930">
        <w:rPr>
          <w:rFonts w:ascii="Garamond" w:hAnsi="Garamond"/>
          <w:b/>
          <w:sz w:val="16"/>
          <w:szCs w:val="16"/>
        </w:rPr>
        <w:t xml:space="preserve"> </w:t>
      </w:r>
      <w:proofErr w:type="spellStart"/>
      <w:r w:rsidRPr="00851930">
        <w:rPr>
          <w:rFonts w:ascii="Garamond" w:hAnsi="Garamond"/>
          <w:b/>
          <w:sz w:val="16"/>
          <w:szCs w:val="16"/>
        </w:rPr>
        <w:t>of</w:t>
      </w:r>
      <w:proofErr w:type="spellEnd"/>
      <w:r w:rsidRPr="00851930">
        <w:rPr>
          <w:rFonts w:ascii="Garamond" w:hAnsi="Garamond"/>
          <w:b/>
          <w:sz w:val="16"/>
          <w:szCs w:val="16"/>
        </w:rPr>
        <w:t xml:space="preserve"> </w:t>
      </w:r>
      <w:proofErr w:type="spellStart"/>
      <w:r w:rsidRPr="00851930">
        <w:rPr>
          <w:rFonts w:ascii="Garamond" w:hAnsi="Garamond"/>
          <w:b/>
          <w:sz w:val="16"/>
          <w:szCs w:val="16"/>
        </w:rPr>
        <w:t>Law</w:t>
      </w:r>
      <w:proofErr w:type="spellEnd"/>
      <w:r w:rsidRPr="00851930">
        <w:rPr>
          <w:rFonts w:ascii="Garamond" w:hAnsi="Garamond"/>
          <w:b/>
          <w:sz w:val="16"/>
          <w:szCs w:val="16"/>
        </w:rPr>
        <w:t xml:space="preserve"> Council </w:t>
      </w:r>
      <w:proofErr w:type="spellStart"/>
      <w:r w:rsidRPr="00851930">
        <w:rPr>
          <w:rFonts w:ascii="Garamond" w:hAnsi="Garamond"/>
          <w:b/>
          <w:sz w:val="16"/>
          <w:szCs w:val="16"/>
        </w:rPr>
        <w:t>of</w:t>
      </w:r>
      <w:proofErr w:type="spellEnd"/>
      <w:r w:rsidRPr="00851930">
        <w:rPr>
          <w:rFonts w:ascii="Garamond" w:hAnsi="Garamond"/>
          <w:b/>
          <w:sz w:val="16"/>
          <w:szCs w:val="16"/>
        </w:rPr>
        <w:t xml:space="preserve"> Australia. Miembro de Pleno Derecho del Instituto Vasco de Derecho Procesal</w:t>
      </w:r>
    </w:p>
    <w:p w14:paraId="4BFAD395" w14:textId="77777777" w:rsidR="0095694F" w:rsidRDefault="0095694F" w:rsidP="00774325">
      <w:pPr>
        <w:pStyle w:val="Sinespaciado"/>
        <w:pBdr>
          <w:bottom w:val="single" w:sz="6" w:space="1" w:color="auto"/>
        </w:pBdr>
        <w:jc w:val="both"/>
        <w:rPr>
          <w:rFonts w:ascii="Garamond" w:hAnsi="Garamond"/>
          <w:sz w:val="24"/>
          <w:szCs w:val="24"/>
        </w:rPr>
      </w:pPr>
    </w:p>
    <w:p w14:paraId="45B01498" w14:textId="77777777" w:rsidR="00095794" w:rsidRDefault="00095794" w:rsidP="00774325">
      <w:pPr>
        <w:pStyle w:val="Sinespaciado"/>
        <w:jc w:val="both"/>
        <w:rPr>
          <w:rFonts w:ascii="Garamond" w:hAnsi="Garamond"/>
          <w:sz w:val="24"/>
          <w:szCs w:val="24"/>
        </w:rPr>
      </w:pPr>
    </w:p>
    <w:p w14:paraId="77F7B6E9" w14:textId="5F37DB14" w:rsidR="00095794" w:rsidRPr="00793B77" w:rsidRDefault="00095794" w:rsidP="00095794">
      <w:pPr>
        <w:pStyle w:val="Sinespaciado"/>
        <w:jc w:val="both"/>
        <w:rPr>
          <w:rFonts w:ascii="Garamond" w:hAnsi="Garamond"/>
          <w:b/>
          <w:bCs/>
          <w:sz w:val="24"/>
          <w:szCs w:val="24"/>
        </w:rPr>
      </w:pPr>
      <w:r>
        <w:rPr>
          <w:rFonts w:ascii="Garamond" w:hAnsi="Garamond"/>
          <w:b/>
          <w:bCs/>
          <w:sz w:val="24"/>
          <w:szCs w:val="24"/>
        </w:rPr>
        <w:t xml:space="preserve">Sumario: </w:t>
      </w:r>
      <w:r w:rsidRPr="00A20971">
        <w:rPr>
          <w:rFonts w:ascii="Garamond" w:hAnsi="Garamond"/>
          <w:b/>
          <w:bCs/>
          <w:sz w:val="24"/>
          <w:szCs w:val="24"/>
        </w:rPr>
        <w:t>1. Remuneración</w:t>
      </w:r>
      <w:r>
        <w:rPr>
          <w:rFonts w:ascii="Garamond" w:hAnsi="Garamond"/>
          <w:b/>
          <w:bCs/>
          <w:sz w:val="24"/>
          <w:szCs w:val="24"/>
        </w:rPr>
        <w:t xml:space="preserve"> - </w:t>
      </w:r>
      <w:r w:rsidRPr="00091E89">
        <w:rPr>
          <w:rFonts w:ascii="Garamond" w:hAnsi="Garamond"/>
          <w:b/>
          <w:bCs/>
          <w:sz w:val="24"/>
          <w:szCs w:val="24"/>
        </w:rPr>
        <w:t xml:space="preserve">2. </w:t>
      </w:r>
      <w:r>
        <w:rPr>
          <w:rFonts w:ascii="Garamond" w:hAnsi="Garamond"/>
          <w:b/>
          <w:bCs/>
          <w:sz w:val="24"/>
          <w:szCs w:val="24"/>
        </w:rPr>
        <w:t xml:space="preserve">Diferencia entre nivelación y homologación de remuneraciones - </w:t>
      </w:r>
      <w:r w:rsidRPr="00AD6159">
        <w:rPr>
          <w:rFonts w:ascii="Garamond" w:hAnsi="Garamond"/>
          <w:b/>
          <w:bCs/>
          <w:sz w:val="24"/>
          <w:szCs w:val="24"/>
        </w:rPr>
        <w:t xml:space="preserve">3. </w:t>
      </w:r>
      <w:r>
        <w:rPr>
          <w:rFonts w:ascii="Garamond" w:hAnsi="Garamond"/>
          <w:b/>
          <w:bCs/>
          <w:sz w:val="24"/>
          <w:szCs w:val="24"/>
        </w:rPr>
        <w:t xml:space="preserve">Escala remunerativa - </w:t>
      </w:r>
      <w:r w:rsidRPr="00F41B2D">
        <w:rPr>
          <w:rFonts w:ascii="Garamond" w:hAnsi="Garamond"/>
          <w:b/>
          <w:bCs/>
          <w:sz w:val="24"/>
          <w:szCs w:val="24"/>
        </w:rPr>
        <w:t xml:space="preserve">4. </w:t>
      </w:r>
      <w:r>
        <w:rPr>
          <w:rFonts w:ascii="Garamond" w:hAnsi="Garamond"/>
          <w:b/>
          <w:bCs/>
          <w:sz w:val="24"/>
          <w:szCs w:val="24"/>
        </w:rPr>
        <w:t>Vigencia</w:t>
      </w:r>
      <w:r w:rsidRPr="00F41B2D">
        <w:rPr>
          <w:rFonts w:ascii="Garamond" w:hAnsi="Garamond"/>
          <w:b/>
          <w:bCs/>
          <w:sz w:val="24"/>
          <w:szCs w:val="24"/>
        </w:rPr>
        <w:t xml:space="preserve"> de la escala remunerativa</w:t>
      </w:r>
      <w:r>
        <w:rPr>
          <w:rFonts w:ascii="Garamond" w:hAnsi="Garamond"/>
          <w:b/>
          <w:bCs/>
          <w:sz w:val="24"/>
          <w:szCs w:val="24"/>
        </w:rPr>
        <w:t xml:space="preserve"> - </w:t>
      </w:r>
      <w:r w:rsidRPr="0088004A">
        <w:rPr>
          <w:rFonts w:ascii="Garamond" w:hAnsi="Garamond"/>
          <w:b/>
          <w:bCs/>
          <w:sz w:val="24"/>
          <w:szCs w:val="24"/>
        </w:rPr>
        <w:t>5. Aplicación de la escala remunerativa</w:t>
      </w:r>
      <w:r>
        <w:rPr>
          <w:rFonts w:ascii="Garamond" w:hAnsi="Garamond"/>
          <w:b/>
          <w:bCs/>
          <w:sz w:val="24"/>
          <w:szCs w:val="24"/>
        </w:rPr>
        <w:t xml:space="preserve"> - </w:t>
      </w:r>
      <w:r w:rsidRPr="00567FBA">
        <w:rPr>
          <w:rFonts w:ascii="Garamond" w:hAnsi="Garamond"/>
          <w:b/>
          <w:bCs/>
          <w:sz w:val="24"/>
          <w:szCs w:val="24"/>
        </w:rPr>
        <w:t>6. Progresividad de los derechos laborales</w:t>
      </w:r>
      <w:r>
        <w:rPr>
          <w:rFonts w:ascii="Garamond" w:hAnsi="Garamond"/>
          <w:b/>
          <w:bCs/>
          <w:sz w:val="24"/>
          <w:szCs w:val="24"/>
        </w:rPr>
        <w:t xml:space="preserve"> - </w:t>
      </w:r>
      <w:r w:rsidRPr="00793B77">
        <w:rPr>
          <w:rFonts w:ascii="Garamond" w:hAnsi="Garamond"/>
          <w:b/>
          <w:bCs/>
          <w:sz w:val="24"/>
          <w:szCs w:val="24"/>
        </w:rPr>
        <w:t xml:space="preserve">7. Carga </w:t>
      </w:r>
      <w:r>
        <w:rPr>
          <w:rFonts w:ascii="Garamond" w:hAnsi="Garamond"/>
          <w:b/>
          <w:bCs/>
          <w:sz w:val="24"/>
          <w:szCs w:val="24"/>
        </w:rPr>
        <w:t>de la prueba</w:t>
      </w:r>
    </w:p>
    <w:p w14:paraId="109D2742" w14:textId="0FE92681" w:rsidR="00095794" w:rsidRDefault="00095794" w:rsidP="00774325">
      <w:pPr>
        <w:pStyle w:val="Sinespaciado"/>
        <w:pBdr>
          <w:bottom w:val="single" w:sz="6" w:space="1" w:color="auto"/>
        </w:pBdr>
        <w:jc w:val="both"/>
        <w:rPr>
          <w:rFonts w:ascii="Garamond" w:hAnsi="Garamond"/>
          <w:sz w:val="24"/>
          <w:szCs w:val="24"/>
        </w:rPr>
      </w:pPr>
    </w:p>
    <w:p w14:paraId="689A361B" w14:textId="2C6E4BA2" w:rsidR="00095794" w:rsidRDefault="00FB26AA" w:rsidP="00774325">
      <w:pPr>
        <w:pStyle w:val="Sinespaciado"/>
        <w:jc w:val="both"/>
        <w:rPr>
          <w:rFonts w:ascii="Garamond" w:hAnsi="Garamond"/>
          <w:sz w:val="24"/>
          <w:szCs w:val="24"/>
        </w:rPr>
      </w:pPr>
      <w:r w:rsidRPr="00B11670">
        <w:rPr>
          <w:rFonts w:ascii="Times New Roman" w:hAnsi="Times New Roman" w:cs="Times New Roman"/>
          <w:noProof/>
          <w:sz w:val="26"/>
          <w:szCs w:val="26"/>
          <w:lang w:eastAsia="es-PE"/>
        </w:rPr>
        <mc:AlternateContent>
          <mc:Choice Requires="wps">
            <w:drawing>
              <wp:anchor distT="0" distB="0" distL="114300" distR="114300" simplePos="0" relativeHeight="251659264" behindDoc="0" locked="0" layoutInCell="1" allowOverlap="1" wp14:anchorId="3AE187B0" wp14:editId="1E584984">
                <wp:simplePos x="0" y="0"/>
                <wp:positionH relativeFrom="margin">
                  <wp:align>right</wp:align>
                </wp:positionH>
                <wp:positionV relativeFrom="paragraph">
                  <wp:posOffset>91440</wp:posOffset>
                </wp:positionV>
                <wp:extent cx="5390515" cy="1104405"/>
                <wp:effectExtent l="0" t="0" r="19685" b="19685"/>
                <wp:wrapNone/>
                <wp:docPr id="17" name="Rectángulo: esquinas redondeadas 17"/>
                <wp:cNvGraphicFramePr/>
                <a:graphic xmlns:a="http://schemas.openxmlformats.org/drawingml/2006/main">
                  <a:graphicData uri="http://schemas.microsoft.com/office/word/2010/wordprocessingShape">
                    <wps:wsp>
                      <wps:cNvSpPr/>
                      <wps:spPr>
                        <a:xfrm>
                          <a:off x="0" y="0"/>
                          <a:ext cx="5390515" cy="1104405"/>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B2867" w14:textId="05023B8B" w:rsidR="00FB26AA" w:rsidRDefault="00FB26AA" w:rsidP="00FB26AA">
                            <w:pPr>
                              <w:pStyle w:val="Sinespaciado"/>
                              <w:jc w:val="both"/>
                              <w:rPr>
                                <w:sz w:val="24"/>
                                <w:szCs w:val="24"/>
                              </w:rPr>
                            </w:pPr>
                            <w:r>
                              <w:rPr>
                                <w:rFonts w:ascii="Bodoni MT" w:hAnsi="Bodoni MT"/>
                                <w:b/>
                                <w:i/>
                                <w:color w:val="000000" w:themeColor="text1"/>
                                <w:sz w:val="24"/>
                                <w:szCs w:val="24"/>
                              </w:rPr>
                              <w:t>Resumen</w:t>
                            </w:r>
                            <w:r>
                              <w:rPr>
                                <w:rFonts w:ascii="Bodoni MT" w:hAnsi="Bodoni MT"/>
                                <w:i/>
                                <w:color w:val="000000" w:themeColor="text1"/>
                                <w:sz w:val="24"/>
                                <w:szCs w:val="24"/>
                              </w:rPr>
                              <w:t xml:space="preserve">. </w:t>
                            </w:r>
                            <w:bookmarkStart w:id="0" w:name="_Hlk133297831"/>
                            <w:r>
                              <w:rPr>
                                <w:rFonts w:ascii="Bodoni MT" w:hAnsi="Bodoni MT"/>
                                <w:i/>
                                <w:color w:val="000000" w:themeColor="text1"/>
                                <w:sz w:val="24"/>
                                <w:szCs w:val="24"/>
                              </w:rPr>
                              <w:t xml:space="preserve">Se ofrece al lector un análisis jurídico de la </w:t>
                            </w:r>
                            <w:r>
                              <w:rPr>
                                <w:rFonts w:ascii="Bodoni MT" w:hAnsi="Bodoni MT"/>
                                <w:i/>
                                <w:color w:val="000000" w:themeColor="text1"/>
                                <w:sz w:val="24"/>
                                <w:szCs w:val="24"/>
                              </w:rPr>
                              <w:t>nivelación</w:t>
                            </w:r>
                            <w:r>
                              <w:rPr>
                                <w:rFonts w:ascii="Bodoni MT" w:hAnsi="Bodoni MT"/>
                                <w:i/>
                                <w:color w:val="000000" w:themeColor="text1"/>
                                <w:sz w:val="24"/>
                                <w:szCs w:val="24"/>
                              </w:rPr>
                              <w:t xml:space="preserve"> de remuneraciones de los servidores públicos estatales, teniendo en cuenta </w:t>
                            </w:r>
                            <w:r>
                              <w:rPr>
                                <w:rFonts w:ascii="Bodoni MT" w:hAnsi="Bodoni MT"/>
                                <w:i/>
                                <w:color w:val="000000" w:themeColor="text1"/>
                                <w:sz w:val="24"/>
                                <w:szCs w:val="24"/>
                              </w:rPr>
                              <w:t>la escala remunerativa que a través de normas administrativas generales emiten las entidades públicas</w:t>
                            </w:r>
                            <w:r>
                              <w:rPr>
                                <w:rFonts w:ascii="Bodoni MT" w:hAnsi="Bodoni MT"/>
                                <w:i/>
                                <w:color w:val="000000" w:themeColor="text1"/>
                                <w:sz w:val="24"/>
                                <w:szCs w:val="24"/>
                              </w:rPr>
                              <w:t xml:space="preserve">, haciendo énfasis en </w:t>
                            </w:r>
                            <w:r w:rsidR="00EA3CE7">
                              <w:rPr>
                                <w:rFonts w:ascii="Bodoni MT" w:hAnsi="Bodoni MT"/>
                                <w:i/>
                                <w:color w:val="000000" w:themeColor="text1"/>
                                <w:sz w:val="24"/>
                                <w:szCs w:val="24"/>
                              </w:rPr>
                              <w:t>los pedidos que pueden solicitar los servidores públicos</w:t>
                            </w:r>
                            <w:r w:rsidR="003A6B2A">
                              <w:rPr>
                                <w:rFonts w:ascii="Bodoni MT" w:hAnsi="Bodoni MT"/>
                                <w:i/>
                                <w:color w:val="000000" w:themeColor="text1"/>
                                <w:sz w:val="24"/>
                                <w:szCs w:val="24"/>
                              </w:rPr>
                              <w:t xml:space="preserve"> para nivelar su remuneración en </w:t>
                            </w:r>
                            <w:r w:rsidR="00BB4D3A">
                              <w:rPr>
                                <w:rFonts w:ascii="Bodoni MT" w:hAnsi="Bodoni MT"/>
                                <w:i/>
                                <w:color w:val="000000" w:themeColor="text1"/>
                                <w:sz w:val="24"/>
                                <w:szCs w:val="24"/>
                              </w:rPr>
                              <w:t>el tope</w:t>
                            </w:r>
                            <w:r w:rsidR="003A6B2A">
                              <w:rPr>
                                <w:rFonts w:ascii="Bodoni MT" w:hAnsi="Bodoni MT"/>
                                <w:i/>
                                <w:color w:val="000000" w:themeColor="text1"/>
                                <w:sz w:val="24"/>
                                <w:szCs w:val="24"/>
                              </w:rPr>
                              <w:t xml:space="preserve"> mínim</w:t>
                            </w:r>
                            <w:r w:rsidR="00BB4D3A">
                              <w:rPr>
                                <w:rFonts w:ascii="Bodoni MT" w:hAnsi="Bodoni MT"/>
                                <w:i/>
                                <w:color w:val="000000" w:themeColor="text1"/>
                                <w:sz w:val="24"/>
                                <w:szCs w:val="24"/>
                              </w:rPr>
                              <w:t>o</w:t>
                            </w:r>
                            <w:r w:rsidR="003A6B2A">
                              <w:rPr>
                                <w:rFonts w:ascii="Bodoni MT" w:hAnsi="Bodoni MT"/>
                                <w:i/>
                                <w:color w:val="000000" w:themeColor="text1"/>
                                <w:sz w:val="24"/>
                                <w:szCs w:val="24"/>
                              </w:rPr>
                              <w:t xml:space="preserve"> o máxim</w:t>
                            </w:r>
                            <w:bookmarkEnd w:id="0"/>
                            <w:r w:rsidR="00BB4D3A">
                              <w:rPr>
                                <w:rFonts w:ascii="Bodoni MT" w:hAnsi="Bodoni MT"/>
                                <w:i/>
                                <w:color w:val="000000" w:themeColor="text1"/>
                                <w:sz w:val="24"/>
                                <w:szCs w:val="24"/>
                              </w:rPr>
                              <w:t>o</w:t>
                            </w:r>
                            <w:r>
                              <w:rPr>
                                <w:rFonts w:ascii="Bodoni MT" w:hAnsi="Bodoni MT"/>
                                <w:i/>
                                <w:color w:val="000000" w:themeColor="text1"/>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AE187B0" id="Rectángulo: esquinas redondeadas 17" o:spid="_x0000_s1026" style="position:absolute;left:0;text-align:left;margin-left:373.25pt;margin-top:7.2pt;width:424.45pt;height:86.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" fillcolor="#d8d8d8 [2732]" strokecolor="black [3213]" strokeweight=".25pt">
                <v:stroke joinstyle="miter"/>
                <v:textbox>
                  <w:txbxContent>
                    <w:p w14:paraId="6B6B2867" w14:textId="05023B8B" w:rsidR="00FB26AA" w:rsidRDefault="00FB26AA" w:rsidP="00FB26AA">
                      <w:pPr>
                        <w:pStyle w:val="Sinespaciado"/>
                        <w:jc w:val="both"/>
                        <w:rPr>
                          <w:sz w:val="24"/>
                          <w:szCs w:val="24"/>
                        </w:rPr>
                      </w:pPr>
                      <w:r>
                        <w:rPr>
                          <w:rFonts w:ascii="Bodoni MT" w:hAnsi="Bodoni MT"/>
                          <w:b/>
                          <w:i/>
                          <w:color w:val="000000" w:themeColor="text1"/>
                          <w:sz w:val="24"/>
                          <w:szCs w:val="24"/>
                        </w:rPr>
                        <w:t>Resumen</w:t>
                      </w:r>
                      <w:r>
                        <w:rPr>
                          <w:rFonts w:ascii="Bodoni MT" w:hAnsi="Bodoni MT"/>
                          <w:i/>
                          <w:color w:val="000000" w:themeColor="text1"/>
                          <w:sz w:val="24"/>
                          <w:szCs w:val="24"/>
                        </w:rPr>
                        <w:t xml:space="preserve">. </w:t>
                      </w:r>
                      <w:bookmarkStart w:id="1" w:name="_Hlk133297831"/>
                      <w:r>
                        <w:rPr>
                          <w:rFonts w:ascii="Bodoni MT" w:hAnsi="Bodoni MT"/>
                          <w:i/>
                          <w:color w:val="000000" w:themeColor="text1"/>
                          <w:sz w:val="24"/>
                          <w:szCs w:val="24"/>
                        </w:rPr>
                        <w:t xml:space="preserve">Se ofrece al lector un análisis jurídico de la </w:t>
                      </w:r>
                      <w:r>
                        <w:rPr>
                          <w:rFonts w:ascii="Bodoni MT" w:hAnsi="Bodoni MT"/>
                          <w:i/>
                          <w:color w:val="000000" w:themeColor="text1"/>
                          <w:sz w:val="24"/>
                          <w:szCs w:val="24"/>
                        </w:rPr>
                        <w:t>nivelación</w:t>
                      </w:r>
                      <w:r>
                        <w:rPr>
                          <w:rFonts w:ascii="Bodoni MT" w:hAnsi="Bodoni MT"/>
                          <w:i/>
                          <w:color w:val="000000" w:themeColor="text1"/>
                          <w:sz w:val="24"/>
                          <w:szCs w:val="24"/>
                        </w:rPr>
                        <w:t xml:space="preserve"> de remuneraciones de los servidores públicos estatales, teniendo en cuenta </w:t>
                      </w:r>
                      <w:r>
                        <w:rPr>
                          <w:rFonts w:ascii="Bodoni MT" w:hAnsi="Bodoni MT"/>
                          <w:i/>
                          <w:color w:val="000000" w:themeColor="text1"/>
                          <w:sz w:val="24"/>
                          <w:szCs w:val="24"/>
                        </w:rPr>
                        <w:t>la escala remunerativa que a través de normas administrativas generales emiten las entidades públicas</w:t>
                      </w:r>
                      <w:r>
                        <w:rPr>
                          <w:rFonts w:ascii="Bodoni MT" w:hAnsi="Bodoni MT"/>
                          <w:i/>
                          <w:color w:val="000000" w:themeColor="text1"/>
                          <w:sz w:val="24"/>
                          <w:szCs w:val="24"/>
                        </w:rPr>
                        <w:t xml:space="preserve">, haciendo énfasis en </w:t>
                      </w:r>
                      <w:r w:rsidR="00EA3CE7">
                        <w:rPr>
                          <w:rFonts w:ascii="Bodoni MT" w:hAnsi="Bodoni MT"/>
                          <w:i/>
                          <w:color w:val="000000" w:themeColor="text1"/>
                          <w:sz w:val="24"/>
                          <w:szCs w:val="24"/>
                        </w:rPr>
                        <w:t>los pedidos que pueden solicitar los servidores públicos</w:t>
                      </w:r>
                      <w:r w:rsidR="003A6B2A">
                        <w:rPr>
                          <w:rFonts w:ascii="Bodoni MT" w:hAnsi="Bodoni MT"/>
                          <w:i/>
                          <w:color w:val="000000" w:themeColor="text1"/>
                          <w:sz w:val="24"/>
                          <w:szCs w:val="24"/>
                        </w:rPr>
                        <w:t xml:space="preserve"> para nivelar su remuneración en </w:t>
                      </w:r>
                      <w:r w:rsidR="00BB4D3A">
                        <w:rPr>
                          <w:rFonts w:ascii="Bodoni MT" w:hAnsi="Bodoni MT"/>
                          <w:i/>
                          <w:color w:val="000000" w:themeColor="text1"/>
                          <w:sz w:val="24"/>
                          <w:szCs w:val="24"/>
                        </w:rPr>
                        <w:t>el tope</w:t>
                      </w:r>
                      <w:r w:rsidR="003A6B2A">
                        <w:rPr>
                          <w:rFonts w:ascii="Bodoni MT" w:hAnsi="Bodoni MT"/>
                          <w:i/>
                          <w:color w:val="000000" w:themeColor="text1"/>
                          <w:sz w:val="24"/>
                          <w:szCs w:val="24"/>
                        </w:rPr>
                        <w:t xml:space="preserve"> mínim</w:t>
                      </w:r>
                      <w:r w:rsidR="00BB4D3A">
                        <w:rPr>
                          <w:rFonts w:ascii="Bodoni MT" w:hAnsi="Bodoni MT"/>
                          <w:i/>
                          <w:color w:val="000000" w:themeColor="text1"/>
                          <w:sz w:val="24"/>
                          <w:szCs w:val="24"/>
                        </w:rPr>
                        <w:t>o</w:t>
                      </w:r>
                      <w:r w:rsidR="003A6B2A">
                        <w:rPr>
                          <w:rFonts w:ascii="Bodoni MT" w:hAnsi="Bodoni MT"/>
                          <w:i/>
                          <w:color w:val="000000" w:themeColor="text1"/>
                          <w:sz w:val="24"/>
                          <w:szCs w:val="24"/>
                        </w:rPr>
                        <w:t xml:space="preserve"> o máxim</w:t>
                      </w:r>
                      <w:bookmarkEnd w:id="1"/>
                      <w:r w:rsidR="00BB4D3A">
                        <w:rPr>
                          <w:rFonts w:ascii="Bodoni MT" w:hAnsi="Bodoni MT"/>
                          <w:i/>
                          <w:color w:val="000000" w:themeColor="text1"/>
                          <w:sz w:val="24"/>
                          <w:szCs w:val="24"/>
                        </w:rPr>
                        <w:t>o</w:t>
                      </w:r>
                      <w:r>
                        <w:rPr>
                          <w:rFonts w:ascii="Bodoni MT" w:hAnsi="Bodoni MT"/>
                          <w:i/>
                          <w:color w:val="000000" w:themeColor="text1"/>
                          <w:sz w:val="24"/>
                          <w:szCs w:val="24"/>
                        </w:rPr>
                        <w:t>.</w:t>
                      </w:r>
                    </w:p>
                  </w:txbxContent>
                </v:textbox>
                <w10:wrap anchorx="margin"/>
              </v:roundrect>
            </w:pict>
          </mc:Fallback>
        </mc:AlternateContent>
      </w:r>
    </w:p>
    <w:p w14:paraId="34EF1CDD" w14:textId="664627B6" w:rsidR="00FB26AA" w:rsidRDefault="00FB26AA" w:rsidP="00774325">
      <w:pPr>
        <w:pStyle w:val="Sinespaciado"/>
        <w:jc w:val="both"/>
        <w:rPr>
          <w:rFonts w:ascii="Garamond" w:hAnsi="Garamond"/>
          <w:sz w:val="24"/>
          <w:szCs w:val="24"/>
        </w:rPr>
      </w:pPr>
    </w:p>
    <w:p w14:paraId="453D9C7E" w14:textId="3EDBA5D9" w:rsidR="00FB26AA" w:rsidRDefault="00FB26AA" w:rsidP="00774325">
      <w:pPr>
        <w:pStyle w:val="Sinespaciado"/>
        <w:jc w:val="both"/>
        <w:rPr>
          <w:rFonts w:ascii="Garamond" w:hAnsi="Garamond"/>
          <w:sz w:val="24"/>
          <w:szCs w:val="24"/>
        </w:rPr>
      </w:pPr>
    </w:p>
    <w:p w14:paraId="68354C80" w14:textId="77777777" w:rsidR="00FB26AA" w:rsidRDefault="00FB26AA" w:rsidP="00774325">
      <w:pPr>
        <w:pStyle w:val="Sinespaciado"/>
        <w:jc w:val="both"/>
        <w:rPr>
          <w:rFonts w:ascii="Garamond" w:hAnsi="Garamond"/>
          <w:sz w:val="24"/>
          <w:szCs w:val="24"/>
        </w:rPr>
      </w:pPr>
    </w:p>
    <w:p w14:paraId="17909BE2" w14:textId="77777777" w:rsidR="00FB26AA" w:rsidRDefault="00FB26AA" w:rsidP="00774325">
      <w:pPr>
        <w:pStyle w:val="Sinespaciado"/>
        <w:jc w:val="both"/>
        <w:rPr>
          <w:rFonts w:ascii="Garamond" w:hAnsi="Garamond"/>
          <w:sz w:val="24"/>
          <w:szCs w:val="24"/>
        </w:rPr>
      </w:pPr>
    </w:p>
    <w:p w14:paraId="4BD467B7" w14:textId="77777777" w:rsidR="00FB26AA" w:rsidRDefault="00FB26AA" w:rsidP="00774325">
      <w:pPr>
        <w:pStyle w:val="Sinespaciado"/>
        <w:jc w:val="both"/>
        <w:rPr>
          <w:rFonts w:ascii="Garamond" w:hAnsi="Garamond"/>
          <w:sz w:val="24"/>
          <w:szCs w:val="24"/>
        </w:rPr>
      </w:pPr>
    </w:p>
    <w:p w14:paraId="25253184" w14:textId="77950A77" w:rsidR="00FB26AA" w:rsidRDefault="00FB26AA" w:rsidP="00774325">
      <w:pPr>
        <w:pStyle w:val="Sinespaciado"/>
        <w:jc w:val="both"/>
        <w:rPr>
          <w:rFonts w:ascii="Garamond" w:hAnsi="Garamond"/>
          <w:sz w:val="24"/>
          <w:szCs w:val="24"/>
        </w:rPr>
      </w:pPr>
    </w:p>
    <w:p w14:paraId="7977D401" w14:textId="147F5D7F" w:rsidR="00FB26AA" w:rsidRDefault="00F6702E" w:rsidP="00774325">
      <w:pPr>
        <w:pStyle w:val="Sinespaciado"/>
        <w:jc w:val="both"/>
        <w:rPr>
          <w:rFonts w:ascii="Garamond" w:hAnsi="Garamond"/>
          <w:sz w:val="24"/>
          <w:szCs w:val="24"/>
        </w:rPr>
      </w:pPr>
      <w:r w:rsidRPr="00B11670">
        <w:rPr>
          <w:rFonts w:ascii="Times New Roman" w:hAnsi="Times New Roman" w:cs="Times New Roman"/>
          <w:noProof/>
          <w:sz w:val="26"/>
          <w:szCs w:val="26"/>
          <w:lang w:eastAsia="es-PE"/>
        </w:rPr>
        <mc:AlternateContent>
          <mc:Choice Requires="wps">
            <w:drawing>
              <wp:anchor distT="0" distB="0" distL="114300" distR="114300" simplePos="0" relativeHeight="251661312" behindDoc="0" locked="0" layoutInCell="1" allowOverlap="1" wp14:anchorId="763A188A" wp14:editId="05738E64">
                <wp:simplePos x="0" y="0"/>
                <wp:positionH relativeFrom="margin">
                  <wp:align>right</wp:align>
                </wp:positionH>
                <wp:positionV relativeFrom="paragraph">
                  <wp:posOffset>69215</wp:posOffset>
                </wp:positionV>
                <wp:extent cx="5390515" cy="1089660"/>
                <wp:effectExtent l="0" t="0" r="19685" b="15240"/>
                <wp:wrapNone/>
                <wp:docPr id="20" name="Rectángulo: esquinas redondeadas 20"/>
                <wp:cNvGraphicFramePr/>
                <a:graphic xmlns:a="http://schemas.openxmlformats.org/drawingml/2006/main">
                  <a:graphicData uri="http://schemas.microsoft.com/office/word/2010/wordprocessingShape">
                    <wps:wsp>
                      <wps:cNvSpPr/>
                      <wps:spPr>
                        <a:xfrm>
                          <a:off x="0" y="0"/>
                          <a:ext cx="5390515" cy="1089660"/>
                        </a:xfrm>
                        <a:prstGeom prst="round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051E7" w14:textId="4ADD41FF" w:rsidR="00F6702E" w:rsidRPr="000423DF" w:rsidRDefault="00F6702E" w:rsidP="00F6702E">
                            <w:pPr>
                              <w:pStyle w:val="Sinespaciado"/>
                              <w:jc w:val="both"/>
                              <w:rPr>
                                <w:rFonts w:ascii="Bodoni MT" w:hAnsi="Bodoni MT"/>
                                <w:i/>
                                <w:iCs/>
                                <w:sz w:val="24"/>
                                <w:szCs w:val="24"/>
                                <w:lang w:val="en-US"/>
                              </w:rPr>
                            </w:pPr>
                            <w:r w:rsidRPr="00F6702E">
                              <w:rPr>
                                <w:rFonts w:ascii="Bodoni MT" w:hAnsi="Bodoni MT"/>
                                <w:b/>
                                <w:i/>
                                <w:color w:val="000000" w:themeColor="text1"/>
                                <w:sz w:val="24"/>
                                <w:szCs w:val="24"/>
                                <w:lang w:val="en-US"/>
                              </w:rPr>
                              <w:t>Abstract</w:t>
                            </w:r>
                            <w:r w:rsidRPr="00F6702E">
                              <w:rPr>
                                <w:rFonts w:ascii="Bodoni MT" w:hAnsi="Bodoni MT"/>
                                <w:i/>
                                <w:color w:val="000000" w:themeColor="text1"/>
                                <w:sz w:val="24"/>
                                <w:szCs w:val="24"/>
                                <w:lang w:val="en-US"/>
                              </w:rPr>
                              <w:t xml:space="preserve">. </w:t>
                            </w:r>
                            <w:r w:rsidR="000423DF" w:rsidRPr="000423DF">
                              <w:rPr>
                                <w:rFonts w:ascii="Bodoni MT" w:hAnsi="Bodoni MT"/>
                                <w:i/>
                                <w:iCs/>
                                <w:color w:val="000000" w:themeColor="text1"/>
                                <w:sz w:val="24"/>
                                <w:szCs w:val="24"/>
                                <w:lang w:val="en-US"/>
                              </w:rPr>
                              <w:t xml:space="preserve">This text offers the reader a legal analysis of the remuneration leveling process for state public servants, </w:t>
                            </w:r>
                            <w:proofErr w:type="gramStart"/>
                            <w:r w:rsidR="000423DF" w:rsidRPr="000423DF">
                              <w:rPr>
                                <w:rFonts w:ascii="Bodoni MT" w:hAnsi="Bodoni MT"/>
                                <w:i/>
                                <w:iCs/>
                                <w:color w:val="000000" w:themeColor="text1"/>
                                <w:sz w:val="24"/>
                                <w:szCs w:val="24"/>
                                <w:lang w:val="en-US"/>
                              </w:rPr>
                              <w:t>taking into account</w:t>
                            </w:r>
                            <w:proofErr w:type="gramEnd"/>
                            <w:r w:rsidR="000423DF" w:rsidRPr="000423DF">
                              <w:rPr>
                                <w:rFonts w:ascii="Bodoni MT" w:hAnsi="Bodoni MT"/>
                                <w:i/>
                                <w:iCs/>
                                <w:color w:val="000000" w:themeColor="text1"/>
                                <w:sz w:val="24"/>
                                <w:szCs w:val="24"/>
                                <w:lang w:val="en-US"/>
                              </w:rPr>
                              <w:t xml:space="preserve"> the remunerative scale established through general administrative regulations issued by public entities. The analysis emphasizes the requests that public servants may submit to level their remuneration to the minimum or maximum threshold.</w:t>
                            </w:r>
                          </w:p>
                          <w:p w14:paraId="74C2E3EE" w14:textId="77777777" w:rsidR="00F6702E" w:rsidRPr="00F6702E" w:rsidRDefault="00F6702E" w:rsidP="00F6702E">
                            <w:pPr>
                              <w:pStyle w:val="Sinespaciado"/>
                              <w:jc w:val="both"/>
                              <w:rPr>
                                <w:rFonts w:ascii="Bodoni MT" w:hAnsi="Bodoni MT"/>
                                <w:i/>
                                <w:color w:val="000000" w:themeColor="text1"/>
                                <w:sz w:val="24"/>
                                <w:szCs w:val="24"/>
                                <w:lang w:val="en-US"/>
                              </w:rPr>
                            </w:pPr>
                          </w:p>
                          <w:p w14:paraId="73AF1991" w14:textId="77777777" w:rsidR="00F6702E" w:rsidRPr="00F6702E" w:rsidRDefault="00F6702E" w:rsidP="00F6702E">
                            <w:pPr>
                              <w:pStyle w:val="Sinespaciado"/>
                              <w:jc w:val="both"/>
                              <w:rPr>
                                <w:rFonts w:ascii="Bodoni MT" w:hAnsi="Bodoni MT"/>
                                <w:i/>
                                <w:color w:val="000000" w:themeColor="text1"/>
                                <w:sz w:val="24"/>
                                <w:szCs w:val="24"/>
                                <w:lang w:val="en-US"/>
                              </w:rPr>
                            </w:pPr>
                          </w:p>
                          <w:p w14:paraId="1F74D679" w14:textId="77777777" w:rsidR="00F6702E" w:rsidRPr="00F6702E" w:rsidRDefault="00F6702E" w:rsidP="00F6702E">
                            <w:pPr>
                              <w:pStyle w:val="Sinespaciado"/>
                              <w:jc w:val="both"/>
                              <w:rPr>
                                <w:rFonts w:ascii="Bodoni MT" w:hAnsi="Bodoni MT"/>
                                <w:i/>
                                <w:iCs/>
                                <w:sz w:val="24"/>
                                <w:szCs w:val="24"/>
                                <w:lang w:val="en-US"/>
                              </w:rPr>
                            </w:pPr>
                          </w:p>
                          <w:p w14:paraId="6054B11A" w14:textId="77777777" w:rsidR="00F6702E" w:rsidRPr="00F6702E" w:rsidRDefault="00F6702E" w:rsidP="00F6702E">
                            <w:pPr>
                              <w:pStyle w:val="Sinespaciado"/>
                              <w:jc w:val="both"/>
                              <w:rPr>
                                <w:rFonts w:ascii="Bodoni MT" w:hAnsi="Bodoni MT"/>
                                <w:i/>
                                <w:iCs/>
                                <w:sz w:val="24"/>
                                <w:szCs w:val="24"/>
                                <w:lang w:val="en-US" w:eastAsia="es-PE"/>
                              </w:rPr>
                            </w:pPr>
                          </w:p>
                          <w:p w14:paraId="2C1B27C9" w14:textId="77777777" w:rsidR="00F6702E" w:rsidRPr="00F6702E" w:rsidRDefault="00F6702E" w:rsidP="00F6702E">
                            <w:pPr>
                              <w:pStyle w:val="Sinespaciado"/>
                              <w:jc w:val="both"/>
                              <w:rPr>
                                <w:rFonts w:ascii="Bodoni MT" w:hAnsi="Bodoni MT"/>
                                <w:i/>
                                <w:iCs/>
                                <w:sz w:val="24"/>
                                <w:szCs w:val="24"/>
                                <w:lang w:val="en-US" w:eastAsia="es-PE"/>
                              </w:rPr>
                            </w:pPr>
                          </w:p>
                          <w:p w14:paraId="28D20EBB" w14:textId="77777777" w:rsidR="00F6702E" w:rsidRPr="00F6702E" w:rsidRDefault="00F6702E" w:rsidP="00F6702E">
                            <w:pPr>
                              <w:pStyle w:val="Sinespaciado"/>
                              <w:jc w:val="both"/>
                              <w:rPr>
                                <w:rFonts w:ascii="Bodoni MT" w:hAnsi="Bodoni MT"/>
                                <w:i/>
                                <w:iCs/>
                                <w:sz w:val="24"/>
                                <w:szCs w:val="24"/>
                                <w:lang w:val="en-US"/>
                              </w:rPr>
                            </w:pPr>
                          </w:p>
                          <w:p w14:paraId="1D8BE511" w14:textId="77777777" w:rsidR="00F6702E" w:rsidRPr="00F6702E" w:rsidRDefault="00F6702E" w:rsidP="00F6702E">
                            <w:pPr>
                              <w:pStyle w:val="Sinespaciado"/>
                              <w:jc w:val="both"/>
                              <w:rPr>
                                <w:rFonts w:ascii="Bodoni MT" w:hAnsi="Bodoni MT"/>
                                <w:i/>
                                <w:iCs/>
                                <w:sz w:val="24"/>
                                <w:szCs w:val="24"/>
                                <w:lang w:val="en-US"/>
                              </w:rPr>
                            </w:pPr>
                          </w:p>
                          <w:p w14:paraId="1ADF7B72" w14:textId="77777777" w:rsidR="00F6702E" w:rsidRPr="00F6702E" w:rsidRDefault="00F6702E" w:rsidP="00F6702E">
                            <w:pPr>
                              <w:pStyle w:val="Sinespaciado"/>
                              <w:jc w:val="both"/>
                              <w:rPr>
                                <w:rFonts w:ascii="Bodoni MT" w:hAnsi="Bodoni MT"/>
                                <w:i/>
                                <w:iCs/>
                                <w:sz w:val="24"/>
                                <w:szCs w:val="24"/>
                                <w:lang w:val="en-US"/>
                              </w:rPr>
                            </w:pPr>
                          </w:p>
                          <w:p w14:paraId="0A8F75B8" w14:textId="77777777" w:rsidR="00F6702E" w:rsidRPr="00F6702E" w:rsidRDefault="00F6702E" w:rsidP="00F6702E">
                            <w:pPr>
                              <w:pStyle w:val="Sinespaciado"/>
                              <w:jc w:val="both"/>
                              <w:rPr>
                                <w:rFonts w:ascii="Bodoni MT" w:hAnsi="Bodoni MT"/>
                                <w:i/>
                                <w:iCs/>
                                <w:sz w:val="24"/>
                                <w:szCs w:val="24"/>
                                <w:lang w:val="en-US"/>
                              </w:rPr>
                            </w:pPr>
                          </w:p>
                          <w:p w14:paraId="3CA3DB40" w14:textId="77777777" w:rsidR="00F6702E" w:rsidRPr="00F6702E" w:rsidRDefault="00F6702E" w:rsidP="00F6702E">
                            <w:pPr>
                              <w:pStyle w:val="Sinespaciado"/>
                              <w:jc w:val="both"/>
                              <w:rPr>
                                <w:rFonts w:ascii="Bodoni MT" w:hAnsi="Bodoni MT"/>
                                <w:i/>
                                <w:iCs/>
                                <w:sz w:val="24"/>
                                <w:szCs w:val="24"/>
                                <w:lang w:val="en-US"/>
                              </w:rPr>
                            </w:pPr>
                          </w:p>
                          <w:p w14:paraId="751F040F" w14:textId="77777777" w:rsidR="00F6702E" w:rsidRPr="00F6702E" w:rsidRDefault="00F6702E" w:rsidP="00F6702E">
                            <w:pPr>
                              <w:pStyle w:val="Sinespaciado"/>
                              <w:jc w:val="both"/>
                              <w:rPr>
                                <w:rFonts w:ascii="Bodoni MT" w:hAnsi="Bodoni MT"/>
                                <w:i/>
                                <w:iCs/>
                                <w:color w:val="000000" w:themeColor="text1"/>
                                <w:sz w:val="24"/>
                                <w:szCs w:val="24"/>
                                <w:lang w:val="en-US"/>
                              </w:rPr>
                            </w:pPr>
                          </w:p>
                          <w:p w14:paraId="41EB9D2C" w14:textId="77777777" w:rsidR="00F6702E" w:rsidRPr="00F6702E" w:rsidRDefault="00F6702E" w:rsidP="00F6702E">
                            <w:pPr>
                              <w:pStyle w:val="Sinespaciado"/>
                              <w:jc w:val="both"/>
                              <w:rPr>
                                <w:rFonts w:ascii="Bodoni MT" w:hAnsi="Bodoni MT"/>
                                <w:i/>
                                <w:iCs/>
                                <w:sz w:val="24"/>
                                <w:szCs w:val="24"/>
                                <w:lang w:val="en-US"/>
                              </w:rPr>
                            </w:pPr>
                          </w:p>
                          <w:p w14:paraId="06F98637" w14:textId="77777777" w:rsidR="00F6702E" w:rsidRPr="00F6702E" w:rsidRDefault="00F6702E" w:rsidP="00F6702E">
                            <w:pPr>
                              <w:pStyle w:val="Sinespaciado"/>
                              <w:jc w:val="both"/>
                              <w:rPr>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63A188A" id="Rectángulo: esquinas redondeadas 20" o:spid="_x0000_s1027" style="position:absolute;left:0;text-align:left;margin-left:373.25pt;margin-top:5.45pt;width:424.45pt;height:8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" fillcolor="#d8d8d8 [2732]" strokecolor="black [3213]" strokeweight=".25pt">
                <v:stroke joinstyle="miter"/>
                <v:textbox>
                  <w:txbxContent>
                    <w:p w14:paraId="4C3051E7" w14:textId="4ADD41FF" w:rsidR="00F6702E" w:rsidRPr="000423DF" w:rsidRDefault="00F6702E" w:rsidP="00F6702E">
                      <w:pPr>
                        <w:pStyle w:val="Sinespaciado"/>
                        <w:jc w:val="both"/>
                        <w:rPr>
                          <w:rFonts w:ascii="Bodoni MT" w:hAnsi="Bodoni MT"/>
                          <w:i/>
                          <w:iCs/>
                          <w:sz w:val="24"/>
                          <w:szCs w:val="24"/>
                          <w:lang w:val="en-US"/>
                        </w:rPr>
                      </w:pPr>
                      <w:r w:rsidRPr="00F6702E">
                        <w:rPr>
                          <w:rFonts w:ascii="Bodoni MT" w:hAnsi="Bodoni MT"/>
                          <w:b/>
                          <w:i/>
                          <w:color w:val="000000" w:themeColor="text1"/>
                          <w:sz w:val="24"/>
                          <w:szCs w:val="24"/>
                          <w:lang w:val="en-US"/>
                        </w:rPr>
                        <w:t>Abstract</w:t>
                      </w:r>
                      <w:r w:rsidRPr="00F6702E">
                        <w:rPr>
                          <w:rFonts w:ascii="Bodoni MT" w:hAnsi="Bodoni MT"/>
                          <w:i/>
                          <w:color w:val="000000" w:themeColor="text1"/>
                          <w:sz w:val="24"/>
                          <w:szCs w:val="24"/>
                          <w:lang w:val="en-US"/>
                        </w:rPr>
                        <w:t xml:space="preserve">. </w:t>
                      </w:r>
                      <w:r w:rsidR="000423DF" w:rsidRPr="000423DF">
                        <w:rPr>
                          <w:rFonts w:ascii="Bodoni MT" w:hAnsi="Bodoni MT"/>
                          <w:i/>
                          <w:iCs/>
                          <w:color w:val="000000" w:themeColor="text1"/>
                          <w:sz w:val="24"/>
                          <w:szCs w:val="24"/>
                          <w:lang w:val="en-US"/>
                        </w:rPr>
                        <w:t xml:space="preserve">This text offers the reader a legal analysis of the remuneration leveling process for state public servants, </w:t>
                      </w:r>
                      <w:proofErr w:type="gramStart"/>
                      <w:r w:rsidR="000423DF" w:rsidRPr="000423DF">
                        <w:rPr>
                          <w:rFonts w:ascii="Bodoni MT" w:hAnsi="Bodoni MT"/>
                          <w:i/>
                          <w:iCs/>
                          <w:color w:val="000000" w:themeColor="text1"/>
                          <w:sz w:val="24"/>
                          <w:szCs w:val="24"/>
                          <w:lang w:val="en-US"/>
                        </w:rPr>
                        <w:t>taking into account</w:t>
                      </w:r>
                      <w:proofErr w:type="gramEnd"/>
                      <w:r w:rsidR="000423DF" w:rsidRPr="000423DF">
                        <w:rPr>
                          <w:rFonts w:ascii="Bodoni MT" w:hAnsi="Bodoni MT"/>
                          <w:i/>
                          <w:iCs/>
                          <w:color w:val="000000" w:themeColor="text1"/>
                          <w:sz w:val="24"/>
                          <w:szCs w:val="24"/>
                          <w:lang w:val="en-US"/>
                        </w:rPr>
                        <w:t xml:space="preserve"> the remunerative scale established through general administrative regulations issued by public entities. The analysis emphasizes the requests that public servants may submit to level their remuneration to the minimum or maximum threshold.</w:t>
                      </w:r>
                    </w:p>
                    <w:p w14:paraId="74C2E3EE" w14:textId="77777777" w:rsidR="00F6702E" w:rsidRPr="00F6702E" w:rsidRDefault="00F6702E" w:rsidP="00F6702E">
                      <w:pPr>
                        <w:pStyle w:val="Sinespaciado"/>
                        <w:jc w:val="both"/>
                        <w:rPr>
                          <w:rFonts w:ascii="Bodoni MT" w:hAnsi="Bodoni MT"/>
                          <w:i/>
                          <w:color w:val="000000" w:themeColor="text1"/>
                          <w:sz w:val="24"/>
                          <w:szCs w:val="24"/>
                          <w:lang w:val="en-US"/>
                        </w:rPr>
                      </w:pPr>
                    </w:p>
                    <w:p w14:paraId="73AF1991" w14:textId="77777777" w:rsidR="00F6702E" w:rsidRPr="00F6702E" w:rsidRDefault="00F6702E" w:rsidP="00F6702E">
                      <w:pPr>
                        <w:pStyle w:val="Sinespaciado"/>
                        <w:jc w:val="both"/>
                        <w:rPr>
                          <w:rFonts w:ascii="Bodoni MT" w:hAnsi="Bodoni MT"/>
                          <w:i/>
                          <w:color w:val="000000" w:themeColor="text1"/>
                          <w:sz w:val="24"/>
                          <w:szCs w:val="24"/>
                          <w:lang w:val="en-US"/>
                        </w:rPr>
                      </w:pPr>
                    </w:p>
                    <w:p w14:paraId="1F74D679" w14:textId="77777777" w:rsidR="00F6702E" w:rsidRPr="00F6702E" w:rsidRDefault="00F6702E" w:rsidP="00F6702E">
                      <w:pPr>
                        <w:pStyle w:val="Sinespaciado"/>
                        <w:jc w:val="both"/>
                        <w:rPr>
                          <w:rFonts w:ascii="Bodoni MT" w:hAnsi="Bodoni MT"/>
                          <w:i/>
                          <w:iCs/>
                          <w:sz w:val="24"/>
                          <w:szCs w:val="24"/>
                          <w:lang w:val="en-US"/>
                        </w:rPr>
                      </w:pPr>
                    </w:p>
                    <w:p w14:paraId="6054B11A" w14:textId="77777777" w:rsidR="00F6702E" w:rsidRPr="00F6702E" w:rsidRDefault="00F6702E" w:rsidP="00F6702E">
                      <w:pPr>
                        <w:pStyle w:val="Sinespaciado"/>
                        <w:jc w:val="both"/>
                        <w:rPr>
                          <w:rFonts w:ascii="Bodoni MT" w:hAnsi="Bodoni MT"/>
                          <w:i/>
                          <w:iCs/>
                          <w:sz w:val="24"/>
                          <w:szCs w:val="24"/>
                          <w:lang w:val="en-US" w:eastAsia="es-PE"/>
                        </w:rPr>
                      </w:pPr>
                    </w:p>
                    <w:p w14:paraId="2C1B27C9" w14:textId="77777777" w:rsidR="00F6702E" w:rsidRPr="00F6702E" w:rsidRDefault="00F6702E" w:rsidP="00F6702E">
                      <w:pPr>
                        <w:pStyle w:val="Sinespaciado"/>
                        <w:jc w:val="both"/>
                        <w:rPr>
                          <w:rFonts w:ascii="Bodoni MT" w:hAnsi="Bodoni MT"/>
                          <w:i/>
                          <w:iCs/>
                          <w:sz w:val="24"/>
                          <w:szCs w:val="24"/>
                          <w:lang w:val="en-US" w:eastAsia="es-PE"/>
                        </w:rPr>
                      </w:pPr>
                    </w:p>
                    <w:p w14:paraId="28D20EBB" w14:textId="77777777" w:rsidR="00F6702E" w:rsidRPr="00F6702E" w:rsidRDefault="00F6702E" w:rsidP="00F6702E">
                      <w:pPr>
                        <w:pStyle w:val="Sinespaciado"/>
                        <w:jc w:val="both"/>
                        <w:rPr>
                          <w:rFonts w:ascii="Bodoni MT" w:hAnsi="Bodoni MT"/>
                          <w:i/>
                          <w:iCs/>
                          <w:sz w:val="24"/>
                          <w:szCs w:val="24"/>
                          <w:lang w:val="en-US"/>
                        </w:rPr>
                      </w:pPr>
                    </w:p>
                    <w:p w14:paraId="1D8BE511" w14:textId="77777777" w:rsidR="00F6702E" w:rsidRPr="00F6702E" w:rsidRDefault="00F6702E" w:rsidP="00F6702E">
                      <w:pPr>
                        <w:pStyle w:val="Sinespaciado"/>
                        <w:jc w:val="both"/>
                        <w:rPr>
                          <w:rFonts w:ascii="Bodoni MT" w:hAnsi="Bodoni MT"/>
                          <w:i/>
                          <w:iCs/>
                          <w:sz w:val="24"/>
                          <w:szCs w:val="24"/>
                          <w:lang w:val="en-US"/>
                        </w:rPr>
                      </w:pPr>
                    </w:p>
                    <w:p w14:paraId="1ADF7B72" w14:textId="77777777" w:rsidR="00F6702E" w:rsidRPr="00F6702E" w:rsidRDefault="00F6702E" w:rsidP="00F6702E">
                      <w:pPr>
                        <w:pStyle w:val="Sinespaciado"/>
                        <w:jc w:val="both"/>
                        <w:rPr>
                          <w:rFonts w:ascii="Bodoni MT" w:hAnsi="Bodoni MT"/>
                          <w:i/>
                          <w:iCs/>
                          <w:sz w:val="24"/>
                          <w:szCs w:val="24"/>
                          <w:lang w:val="en-US"/>
                        </w:rPr>
                      </w:pPr>
                    </w:p>
                    <w:p w14:paraId="0A8F75B8" w14:textId="77777777" w:rsidR="00F6702E" w:rsidRPr="00F6702E" w:rsidRDefault="00F6702E" w:rsidP="00F6702E">
                      <w:pPr>
                        <w:pStyle w:val="Sinespaciado"/>
                        <w:jc w:val="both"/>
                        <w:rPr>
                          <w:rFonts w:ascii="Bodoni MT" w:hAnsi="Bodoni MT"/>
                          <w:i/>
                          <w:iCs/>
                          <w:sz w:val="24"/>
                          <w:szCs w:val="24"/>
                          <w:lang w:val="en-US"/>
                        </w:rPr>
                      </w:pPr>
                    </w:p>
                    <w:p w14:paraId="3CA3DB40" w14:textId="77777777" w:rsidR="00F6702E" w:rsidRPr="00F6702E" w:rsidRDefault="00F6702E" w:rsidP="00F6702E">
                      <w:pPr>
                        <w:pStyle w:val="Sinespaciado"/>
                        <w:jc w:val="both"/>
                        <w:rPr>
                          <w:rFonts w:ascii="Bodoni MT" w:hAnsi="Bodoni MT"/>
                          <w:i/>
                          <w:iCs/>
                          <w:sz w:val="24"/>
                          <w:szCs w:val="24"/>
                          <w:lang w:val="en-US"/>
                        </w:rPr>
                      </w:pPr>
                    </w:p>
                    <w:p w14:paraId="751F040F" w14:textId="77777777" w:rsidR="00F6702E" w:rsidRPr="00F6702E" w:rsidRDefault="00F6702E" w:rsidP="00F6702E">
                      <w:pPr>
                        <w:pStyle w:val="Sinespaciado"/>
                        <w:jc w:val="both"/>
                        <w:rPr>
                          <w:rFonts w:ascii="Bodoni MT" w:hAnsi="Bodoni MT"/>
                          <w:i/>
                          <w:iCs/>
                          <w:color w:val="000000" w:themeColor="text1"/>
                          <w:sz w:val="24"/>
                          <w:szCs w:val="24"/>
                          <w:lang w:val="en-US"/>
                        </w:rPr>
                      </w:pPr>
                    </w:p>
                    <w:p w14:paraId="41EB9D2C" w14:textId="77777777" w:rsidR="00F6702E" w:rsidRPr="00F6702E" w:rsidRDefault="00F6702E" w:rsidP="00F6702E">
                      <w:pPr>
                        <w:pStyle w:val="Sinespaciado"/>
                        <w:jc w:val="both"/>
                        <w:rPr>
                          <w:rFonts w:ascii="Bodoni MT" w:hAnsi="Bodoni MT"/>
                          <w:i/>
                          <w:iCs/>
                          <w:sz w:val="24"/>
                          <w:szCs w:val="24"/>
                          <w:lang w:val="en-US"/>
                        </w:rPr>
                      </w:pPr>
                    </w:p>
                    <w:p w14:paraId="06F98637" w14:textId="77777777" w:rsidR="00F6702E" w:rsidRPr="00F6702E" w:rsidRDefault="00F6702E" w:rsidP="00F6702E">
                      <w:pPr>
                        <w:pStyle w:val="Sinespaciado"/>
                        <w:jc w:val="both"/>
                        <w:rPr>
                          <w:sz w:val="24"/>
                          <w:szCs w:val="24"/>
                          <w:lang w:val="en-US"/>
                        </w:rPr>
                      </w:pPr>
                    </w:p>
                  </w:txbxContent>
                </v:textbox>
                <w10:wrap anchorx="margin"/>
              </v:roundrect>
            </w:pict>
          </mc:Fallback>
        </mc:AlternateContent>
      </w:r>
    </w:p>
    <w:p w14:paraId="657D0A8A" w14:textId="3C7FF8FA" w:rsidR="00FB26AA" w:rsidRDefault="00FB26AA" w:rsidP="00774325">
      <w:pPr>
        <w:pStyle w:val="Sinespaciado"/>
        <w:jc w:val="both"/>
        <w:rPr>
          <w:rFonts w:ascii="Garamond" w:hAnsi="Garamond"/>
          <w:sz w:val="24"/>
          <w:szCs w:val="24"/>
        </w:rPr>
      </w:pPr>
    </w:p>
    <w:p w14:paraId="0571DF4D" w14:textId="120925AD" w:rsidR="00F6702E" w:rsidRDefault="00F6702E" w:rsidP="00774325">
      <w:pPr>
        <w:pStyle w:val="Sinespaciado"/>
        <w:jc w:val="both"/>
        <w:rPr>
          <w:rFonts w:ascii="Garamond" w:hAnsi="Garamond"/>
          <w:sz w:val="24"/>
          <w:szCs w:val="24"/>
        </w:rPr>
      </w:pPr>
    </w:p>
    <w:p w14:paraId="4C9B833C" w14:textId="77777777" w:rsidR="00F6702E" w:rsidRDefault="00F6702E" w:rsidP="00774325">
      <w:pPr>
        <w:pStyle w:val="Sinespaciado"/>
        <w:jc w:val="both"/>
        <w:rPr>
          <w:rFonts w:ascii="Garamond" w:hAnsi="Garamond"/>
          <w:sz w:val="24"/>
          <w:szCs w:val="24"/>
        </w:rPr>
      </w:pPr>
    </w:p>
    <w:p w14:paraId="63A9AB0E" w14:textId="77777777" w:rsidR="00F6702E" w:rsidRDefault="00F6702E" w:rsidP="00774325">
      <w:pPr>
        <w:pStyle w:val="Sinespaciado"/>
        <w:jc w:val="both"/>
        <w:rPr>
          <w:rFonts w:ascii="Garamond" w:hAnsi="Garamond"/>
          <w:sz w:val="24"/>
          <w:szCs w:val="24"/>
        </w:rPr>
      </w:pPr>
    </w:p>
    <w:p w14:paraId="44BD8C32" w14:textId="77777777" w:rsidR="00F6702E" w:rsidRDefault="00F6702E" w:rsidP="00774325">
      <w:pPr>
        <w:pStyle w:val="Sinespaciado"/>
        <w:jc w:val="both"/>
        <w:rPr>
          <w:rFonts w:ascii="Garamond" w:hAnsi="Garamond"/>
          <w:sz w:val="24"/>
          <w:szCs w:val="24"/>
        </w:rPr>
      </w:pPr>
    </w:p>
    <w:p w14:paraId="51B5F2CC" w14:textId="77777777" w:rsidR="00F6702E" w:rsidRDefault="00F6702E" w:rsidP="00774325">
      <w:pPr>
        <w:pStyle w:val="Sinespaciado"/>
        <w:jc w:val="both"/>
        <w:rPr>
          <w:rFonts w:ascii="Garamond" w:hAnsi="Garamond"/>
          <w:sz w:val="24"/>
          <w:szCs w:val="24"/>
        </w:rPr>
      </w:pPr>
    </w:p>
    <w:p w14:paraId="5055B849" w14:textId="5D7E5125" w:rsidR="00C8242A" w:rsidRPr="00C71201" w:rsidRDefault="00C8242A" w:rsidP="00C8242A">
      <w:pPr>
        <w:pStyle w:val="Sinespaciado"/>
        <w:shd w:val="clear" w:color="auto" w:fill="D9D9D9" w:themeFill="background1" w:themeFillShade="D9"/>
        <w:jc w:val="both"/>
        <w:rPr>
          <w:rFonts w:ascii="Garamond" w:hAnsi="Garamond"/>
          <w:sz w:val="24"/>
          <w:szCs w:val="24"/>
        </w:rPr>
      </w:pPr>
      <w:r w:rsidRPr="00C71201">
        <w:rPr>
          <w:rFonts w:ascii="Garamond" w:hAnsi="Garamond"/>
          <w:b/>
          <w:sz w:val="24"/>
          <w:szCs w:val="24"/>
        </w:rPr>
        <w:t>Palabras Clave</w:t>
      </w:r>
      <w:r w:rsidRPr="00C71201">
        <w:rPr>
          <w:rFonts w:ascii="Garamond" w:hAnsi="Garamond"/>
          <w:sz w:val="24"/>
          <w:szCs w:val="24"/>
        </w:rPr>
        <w:t xml:space="preserve">: </w:t>
      </w:r>
      <w:bookmarkStart w:id="2" w:name="_Hlk137542485"/>
      <w:r w:rsidR="00421A9B">
        <w:rPr>
          <w:rFonts w:ascii="Garamond" w:hAnsi="Garamond"/>
          <w:sz w:val="24"/>
          <w:szCs w:val="24"/>
        </w:rPr>
        <w:t>n</w:t>
      </w:r>
      <w:r>
        <w:rPr>
          <w:rFonts w:ascii="Garamond" w:hAnsi="Garamond"/>
          <w:sz w:val="24"/>
          <w:szCs w:val="24"/>
        </w:rPr>
        <w:t>ivelació</w:t>
      </w:r>
      <w:r w:rsidR="003C395C">
        <w:rPr>
          <w:rFonts w:ascii="Garamond" w:hAnsi="Garamond"/>
          <w:sz w:val="24"/>
          <w:szCs w:val="24"/>
        </w:rPr>
        <w:t>n</w:t>
      </w:r>
      <w:r>
        <w:rPr>
          <w:rFonts w:ascii="Garamond" w:hAnsi="Garamond"/>
          <w:sz w:val="24"/>
          <w:szCs w:val="24"/>
        </w:rPr>
        <w:t xml:space="preserve"> de remuneraciones</w:t>
      </w:r>
      <w:r w:rsidRPr="00C71201">
        <w:rPr>
          <w:rFonts w:ascii="Garamond" w:hAnsi="Garamond"/>
          <w:sz w:val="24"/>
          <w:szCs w:val="24"/>
        </w:rPr>
        <w:t xml:space="preserve"> – </w:t>
      </w:r>
      <w:r w:rsidR="00421A9B">
        <w:rPr>
          <w:rFonts w:ascii="Garamond" w:hAnsi="Garamond"/>
          <w:sz w:val="24"/>
          <w:szCs w:val="24"/>
        </w:rPr>
        <w:t>servidores públicos</w:t>
      </w:r>
      <w:r w:rsidRPr="00C71201">
        <w:rPr>
          <w:rFonts w:ascii="Garamond" w:hAnsi="Garamond"/>
          <w:sz w:val="24"/>
          <w:szCs w:val="24"/>
        </w:rPr>
        <w:t xml:space="preserve"> – </w:t>
      </w:r>
      <w:bookmarkEnd w:id="2"/>
      <w:r w:rsidR="002F7381">
        <w:rPr>
          <w:rFonts w:ascii="Garamond" w:hAnsi="Garamond"/>
          <w:sz w:val="24"/>
          <w:szCs w:val="24"/>
        </w:rPr>
        <w:t>escala remunerativa</w:t>
      </w:r>
    </w:p>
    <w:p w14:paraId="038B9BFE" w14:textId="77777777" w:rsidR="00C8242A" w:rsidRPr="00C71201" w:rsidRDefault="00C8242A" w:rsidP="00C8242A">
      <w:pPr>
        <w:pStyle w:val="Sinespaciado"/>
        <w:shd w:val="clear" w:color="auto" w:fill="D9D9D9" w:themeFill="background1" w:themeFillShade="D9"/>
        <w:jc w:val="both"/>
        <w:rPr>
          <w:rFonts w:ascii="Garamond" w:hAnsi="Garamond"/>
          <w:b/>
          <w:bCs/>
          <w:sz w:val="24"/>
          <w:szCs w:val="24"/>
        </w:rPr>
      </w:pPr>
    </w:p>
    <w:p w14:paraId="7EE9B013" w14:textId="51FBEB15" w:rsidR="003C395C" w:rsidRPr="003C395C" w:rsidRDefault="00C8242A" w:rsidP="002F7381">
      <w:pPr>
        <w:pStyle w:val="Sinespaciado"/>
        <w:shd w:val="clear" w:color="auto" w:fill="D9D9D9" w:themeFill="background1" w:themeFillShade="D9"/>
        <w:jc w:val="both"/>
        <w:rPr>
          <w:rFonts w:ascii="Garamond" w:hAnsi="Garamond"/>
          <w:sz w:val="24"/>
          <w:szCs w:val="24"/>
        </w:rPr>
      </w:pPr>
      <w:r w:rsidRPr="00421A9B">
        <w:rPr>
          <w:rFonts w:ascii="Garamond" w:hAnsi="Garamond"/>
          <w:b/>
          <w:bCs/>
          <w:sz w:val="24"/>
          <w:szCs w:val="24"/>
          <w:lang w:val="en-US"/>
        </w:rPr>
        <w:t>Keywords</w:t>
      </w:r>
      <w:r w:rsidRPr="00421A9B">
        <w:rPr>
          <w:rFonts w:ascii="Garamond" w:hAnsi="Garamond"/>
          <w:sz w:val="24"/>
          <w:szCs w:val="24"/>
          <w:lang w:val="en-US"/>
        </w:rPr>
        <w:t xml:space="preserve">: </w:t>
      </w:r>
      <w:r w:rsidR="00421A9B">
        <w:rPr>
          <w:rFonts w:ascii="Garamond" w:hAnsi="Garamond"/>
          <w:sz w:val="24"/>
          <w:szCs w:val="24"/>
          <w:lang w:val="en-US"/>
        </w:rPr>
        <w:t>r</w:t>
      </w:r>
      <w:r w:rsidR="003C395C" w:rsidRPr="00421A9B">
        <w:rPr>
          <w:rFonts w:ascii="Garamond" w:hAnsi="Garamond"/>
          <w:sz w:val="24"/>
          <w:szCs w:val="24"/>
          <w:lang w:val="en-US"/>
        </w:rPr>
        <w:t>emuneration leveling</w:t>
      </w:r>
      <w:r w:rsidR="00421A9B" w:rsidRPr="00421A9B">
        <w:rPr>
          <w:rFonts w:ascii="Garamond" w:hAnsi="Garamond"/>
          <w:sz w:val="24"/>
          <w:szCs w:val="24"/>
          <w:lang w:val="en-US"/>
        </w:rPr>
        <w:t xml:space="preserve"> </w:t>
      </w:r>
      <w:r w:rsidR="00421A9B">
        <w:rPr>
          <w:rFonts w:ascii="Garamond" w:hAnsi="Garamond"/>
          <w:sz w:val="24"/>
          <w:szCs w:val="24"/>
          <w:lang w:val="en-US"/>
        </w:rPr>
        <w:t xml:space="preserve">- </w:t>
      </w:r>
      <w:r w:rsidR="002F7381">
        <w:rPr>
          <w:rFonts w:ascii="Garamond" w:hAnsi="Garamond"/>
          <w:sz w:val="24"/>
          <w:szCs w:val="24"/>
          <w:lang w:val="en-US"/>
        </w:rPr>
        <w:t>p</w:t>
      </w:r>
      <w:r w:rsidR="003C395C" w:rsidRPr="003C395C">
        <w:rPr>
          <w:rFonts w:ascii="Garamond" w:hAnsi="Garamond"/>
          <w:sz w:val="24"/>
          <w:szCs w:val="24"/>
          <w:lang w:val="en-US"/>
        </w:rPr>
        <w:t>ublic servants</w:t>
      </w:r>
      <w:r w:rsidR="002F7381">
        <w:rPr>
          <w:rFonts w:ascii="Garamond" w:hAnsi="Garamond"/>
          <w:sz w:val="24"/>
          <w:szCs w:val="24"/>
          <w:lang w:val="en-US"/>
        </w:rPr>
        <w:t xml:space="preserve"> - </w:t>
      </w:r>
      <w:r w:rsidR="002F7381">
        <w:rPr>
          <w:rFonts w:ascii="Garamond" w:hAnsi="Garamond"/>
          <w:sz w:val="24"/>
          <w:szCs w:val="24"/>
        </w:rPr>
        <w:t>r</w:t>
      </w:r>
      <w:r w:rsidR="003C395C" w:rsidRPr="003C395C">
        <w:rPr>
          <w:rFonts w:ascii="Garamond" w:hAnsi="Garamond"/>
          <w:sz w:val="24"/>
          <w:szCs w:val="24"/>
        </w:rPr>
        <w:t xml:space="preserve">emunerative </w:t>
      </w:r>
      <w:proofErr w:type="spellStart"/>
      <w:r w:rsidR="003C395C" w:rsidRPr="003C395C">
        <w:rPr>
          <w:rFonts w:ascii="Garamond" w:hAnsi="Garamond"/>
          <w:sz w:val="24"/>
          <w:szCs w:val="24"/>
        </w:rPr>
        <w:t>scale</w:t>
      </w:r>
      <w:proofErr w:type="spellEnd"/>
    </w:p>
    <w:p w14:paraId="0697CA68" w14:textId="6614B446" w:rsidR="00C8242A" w:rsidRPr="00C8242A" w:rsidRDefault="00C8242A" w:rsidP="003C395C">
      <w:pPr>
        <w:pStyle w:val="Sinespaciado"/>
        <w:shd w:val="clear" w:color="auto" w:fill="D9D9D9" w:themeFill="background1" w:themeFillShade="D9"/>
        <w:jc w:val="both"/>
        <w:rPr>
          <w:rFonts w:ascii="Garamond" w:hAnsi="Garamond"/>
          <w:sz w:val="24"/>
          <w:szCs w:val="24"/>
          <w:lang w:val="en-US"/>
        </w:rPr>
      </w:pPr>
    </w:p>
    <w:p w14:paraId="083CA62A" w14:textId="7DCD22E9" w:rsidR="00C8242A" w:rsidRPr="00C71201" w:rsidRDefault="00C8242A" w:rsidP="00C8242A">
      <w:pPr>
        <w:pStyle w:val="Sinespaciado"/>
        <w:shd w:val="clear" w:color="auto" w:fill="D9D9D9" w:themeFill="background1" w:themeFillShade="D9"/>
        <w:jc w:val="both"/>
        <w:rPr>
          <w:rFonts w:ascii="Garamond" w:hAnsi="Garamond"/>
          <w:sz w:val="24"/>
          <w:szCs w:val="24"/>
        </w:rPr>
      </w:pPr>
      <w:r w:rsidRPr="00C71201">
        <w:rPr>
          <w:rFonts w:ascii="Garamond" w:hAnsi="Garamond"/>
          <w:sz w:val="24"/>
          <w:szCs w:val="24"/>
        </w:rPr>
        <w:t xml:space="preserve">Recibido </w:t>
      </w:r>
      <w:r>
        <w:rPr>
          <w:rFonts w:ascii="Garamond" w:hAnsi="Garamond"/>
          <w:sz w:val="24"/>
          <w:szCs w:val="24"/>
        </w:rPr>
        <w:t>12</w:t>
      </w:r>
      <w:r w:rsidRPr="00C71201">
        <w:rPr>
          <w:rFonts w:ascii="Garamond" w:hAnsi="Garamond"/>
          <w:sz w:val="24"/>
          <w:szCs w:val="24"/>
        </w:rPr>
        <w:t>/</w:t>
      </w:r>
      <w:r w:rsidR="00137539">
        <w:rPr>
          <w:rFonts w:ascii="Garamond" w:hAnsi="Garamond"/>
          <w:sz w:val="24"/>
          <w:szCs w:val="24"/>
        </w:rPr>
        <w:t>01</w:t>
      </w:r>
      <w:r w:rsidRPr="00C71201">
        <w:rPr>
          <w:rFonts w:ascii="Garamond" w:hAnsi="Garamond"/>
          <w:sz w:val="24"/>
          <w:szCs w:val="24"/>
        </w:rPr>
        <w:t>/202</w:t>
      </w:r>
      <w:r w:rsidR="00137539">
        <w:rPr>
          <w:rFonts w:ascii="Garamond" w:hAnsi="Garamond"/>
          <w:sz w:val="24"/>
          <w:szCs w:val="24"/>
        </w:rPr>
        <w:t>5</w:t>
      </w:r>
    </w:p>
    <w:p w14:paraId="19BF5D72" w14:textId="25584BEE" w:rsidR="00C8242A" w:rsidRPr="00B11670" w:rsidRDefault="00C8242A" w:rsidP="00C8242A">
      <w:pPr>
        <w:pStyle w:val="Sinespaciado"/>
        <w:shd w:val="clear" w:color="auto" w:fill="D9D9D9" w:themeFill="background1" w:themeFillShade="D9"/>
        <w:jc w:val="both"/>
        <w:rPr>
          <w:rFonts w:ascii="Garamond" w:hAnsi="Garamond"/>
          <w:sz w:val="26"/>
          <w:szCs w:val="26"/>
        </w:rPr>
      </w:pPr>
      <w:r w:rsidRPr="00C71201">
        <w:rPr>
          <w:rFonts w:ascii="Garamond" w:hAnsi="Garamond"/>
          <w:sz w:val="24"/>
          <w:szCs w:val="24"/>
        </w:rPr>
        <w:t xml:space="preserve">Aprobado </w:t>
      </w:r>
      <w:r w:rsidR="00137539">
        <w:rPr>
          <w:rFonts w:ascii="Garamond" w:hAnsi="Garamond"/>
          <w:sz w:val="24"/>
          <w:szCs w:val="24"/>
        </w:rPr>
        <w:t>10</w:t>
      </w:r>
      <w:r w:rsidRPr="00C71201">
        <w:rPr>
          <w:rFonts w:ascii="Garamond" w:hAnsi="Garamond"/>
          <w:sz w:val="24"/>
          <w:szCs w:val="24"/>
        </w:rPr>
        <w:t>/</w:t>
      </w:r>
      <w:r w:rsidR="005C2A1C">
        <w:rPr>
          <w:rFonts w:ascii="Garamond" w:hAnsi="Garamond"/>
          <w:sz w:val="24"/>
          <w:szCs w:val="24"/>
        </w:rPr>
        <w:t>0</w:t>
      </w:r>
      <w:r w:rsidR="00137539">
        <w:rPr>
          <w:rFonts w:ascii="Garamond" w:hAnsi="Garamond"/>
          <w:sz w:val="24"/>
          <w:szCs w:val="24"/>
        </w:rPr>
        <w:t>2</w:t>
      </w:r>
      <w:r w:rsidRPr="00C71201">
        <w:rPr>
          <w:rFonts w:ascii="Garamond" w:hAnsi="Garamond"/>
          <w:sz w:val="24"/>
          <w:szCs w:val="24"/>
        </w:rPr>
        <w:t>/202</w:t>
      </w:r>
      <w:r w:rsidR="005C2A1C">
        <w:rPr>
          <w:rFonts w:ascii="Garamond" w:hAnsi="Garamond"/>
          <w:sz w:val="24"/>
          <w:szCs w:val="24"/>
        </w:rPr>
        <w:t>5</w:t>
      </w:r>
    </w:p>
    <w:p w14:paraId="0A4EA0B1" w14:textId="77777777" w:rsidR="00F6702E" w:rsidRPr="00616CF0" w:rsidRDefault="00F6702E" w:rsidP="00774325">
      <w:pPr>
        <w:pStyle w:val="Sinespaciado"/>
        <w:jc w:val="both"/>
        <w:rPr>
          <w:rFonts w:ascii="Garamond" w:hAnsi="Garamond"/>
          <w:sz w:val="24"/>
          <w:szCs w:val="24"/>
        </w:rPr>
      </w:pPr>
    </w:p>
    <w:p w14:paraId="799CE590" w14:textId="4117EEEA" w:rsidR="00774325" w:rsidRPr="00616CF0" w:rsidRDefault="00774325" w:rsidP="00774325">
      <w:pPr>
        <w:pStyle w:val="Sinespaciado"/>
        <w:jc w:val="both"/>
        <w:rPr>
          <w:rFonts w:ascii="Garamond" w:hAnsi="Garamond"/>
          <w:sz w:val="24"/>
          <w:szCs w:val="24"/>
        </w:rPr>
      </w:pPr>
      <w:r w:rsidRPr="00901B1B">
        <w:rPr>
          <w:rFonts w:ascii="Garamond" w:hAnsi="Garamond"/>
          <w:i/>
          <w:iCs/>
          <w:sz w:val="24"/>
          <w:szCs w:val="24"/>
        </w:rPr>
        <w:t xml:space="preserve">A </w:t>
      </w:r>
      <w:proofErr w:type="spellStart"/>
      <w:r w:rsidRPr="00901B1B">
        <w:rPr>
          <w:rFonts w:ascii="Garamond" w:hAnsi="Garamond"/>
          <w:i/>
          <w:iCs/>
          <w:sz w:val="24"/>
          <w:szCs w:val="24"/>
        </w:rPr>
        <w:t>pari</w:t>
      </w:r>
      <w:proofErr w:type="spellEnd"/>
      <w:r w:rsidRPr="00616CF0">
        <w:rPr>
          <w:rStyle w:val="Refdenotaalpie"/>
          <w:rFonts w:ascii="Garamond" w:hAnsi="Garamond"/>
          <w:sz w:val="24"/>
          <w:szCs w:val="24"/>
        </w:rPr>
        <w:footnoteReference w:id="2"/>
      </w:r>
      <w:r w:rsidRPr="00616CF0">
        <w:rPr>
          <w:rFonts w:ascii="Garamond" w:hAnsi="Garamond"/>
          <w:sz w:val="24"/>
          <w:szCs w:val="24"/>
        </w:rPr>
        <w:t xml:space="preserve">. Establecer las remuneraciones en el Sector Privado, </w:t>
      </w:r>
      <w:r w:rsidRPr="002325F4">
        <w:rPr>
          <w:rFonts w:ascii="Garamond" w:hAnsi="Garamond"/>
          <w:i/>
          <w:iCs/>
          <w:sz w:val="24"/>
          <w:szCs w:val="24"/>
        </w:rPr>
        <w:t>in genere</w:t>
      </w:r>
      <w:r w:rsidRPr="00616CF0">
        <w:rPr>
          <w:rFonts w:ascii="Garamond" w:hAnsi="Garamond"/>
          <w:sz w:val="24"/>
          <w:szCs w:val="24"/>
        </w:rPr>
        <w:t xml:space="preserve">, depende </w:t>
      </w:r>
      <w:r w:rsidR="00216CD5">
        <w:rPr>
          <w:rFonts w:ascii="Garamond" w:hAnsi="Garamond"/>
          <w:sz w:val="24"/>
          <w:szCs w:val="24"/>
        </w:rPr>
        <w:t>de</w:t>
      </w:r>
      <w:r w:rsidRPr="00616CF0">
        <w:rPr>
          <w:rFonts w:ascii="Garamond" w:hAnsi="Garamond"/>
          <w:sz w:val="24"/>
          <w:szCs w:val="24"/>
        </w:rPr>
        <w:t xml:space="preserve"> la autonomía de la voluntad de las partes</w:t>
      </w:r>
      <w:r w:rsidR="00156C41" w:rsidRPr="00616CF0">
        <w:rPr>
          <w:rFonts w:ascii="Garamond" w:hAnsi="Garamond"/>
          <w:sz w:val="24"/>
          <w:szCs w:val="24"/>
        </w:rPr>
        <w:t xml:space="preserve">, mientras que las remuneraciones en el Sector Público dependen </w:t>
      </w:r>
      <w:r w:rsidR="00156C41" w:rsidRPr="00616CF0">
        <w:rPr>
          <w:rFonts w:ascii="Garamond" w:hAnsi="Garamond"/>
          <w:sz w:val="24"/>
          <w:szCs w:val="24"/>
        </w:rPr>
        <w:lastRenderedPageBreak/>
        <w:t>del principio de legalidad presupuestal. Sin embargo, debido a la necesidad de garantizar el respeto a la dignidad de los servidores públicos, se ha establecido la posibilidad de establecer la autonomía de la voluntad colectiva como fuente remunerativa, nos referimos a los conceptos remunerativos que se derivan de la negociación colectiva pública</w:t>
      </w:r>
      <w:r w:rsidR="00A8357B">
        <w:rPr>
          <w:rFonts w:ascii="Garamond" w:hAnsi="Garamond"/>
          <w:sz w:val="24"/>
          <w:szCs w:val="24"/>
        </w:rPr>
        <w:t>, en efecto, un convenio colectivo</w:t>
      </w:r>
      <w:r w:rsidR="007C6C26">
        <w:rPr>
          <w:rFonts w:ascii="Garamond" w:hAnsi="Garamond"/>
          <w:sz w:val="24"/>
          <w:szCs w:val="24"/>
        </w:rPr>
        <w:t xml:space="preserve"> puede incrementar las remuneraciones de los servidores públicos</w:t>
      </w:r>
      <w:r w:rsidR="00FB5856">
        <w:rPr>
          <w:rFonts w:ascii="Garamond" w:hAnsi="Garamond"/>
          <w:sz w:val="24"/>
          <w:szCs w:val="24"/>
        </w:rPr>
        <w:t>, m</w:t>
      </w:r>
      <w:r w:rsidR="00161B5D">
        <w:rPr>
          <w:rFonts w:ascii="Garamond" w:hAnsi="Garamond"/>
          <w:sz w:val="24"/>
          <w:szCs w:val="24"/>
        </w:rPr>
        <w:t>otivando, en algunos casos, la modificación de las escalas remunerativas de las entidades públicas</w:t>
      </w:r>
      <w:r w:rsidR="00156C41" w:rsidRPr="00616CF0">
        <w:rPr>
          <w:rFonts w:ascii="Garamond" w:hAnsi="Garamond"/>
          <w:sz w:val="24"/>
          <w:szCs w:val="24"/>
        </w:rPr>
        <w:t>.</w:t>
      </w:r>
    </w:p>
    <w:p w14:paraId="5FEDCCA1" w14:textId="77777777" w:rsidR="00156C41" w:rsidRPr="00616CF0" w:rsidRDefault="00156C41" w:rsidP="00774325">
      <w:pPr>
        <w:pStyle w:val="Sinespaciado"/>
        <w:jc w:val="both"/>
        <w:rPr>
          <w:rFonts w:ascii="Garamond" w:hAnsi="Garamond"/>
          <w:sz w:val="24"/>
          <w:szCs w:val="24"/>
        </w:rPr>
      </w:pPr>
    </w:p>
    <w:p w14:paraId="534E21AB" w14:textId="28758440" w:rsidR="00B12F03" w:rsidRPr="00616CF0" w:rsidRDefault="00156C41" w:rsidP="00774325">
      <w:pPr>
        <w:pStyle w:val="Sinespaciado"/>
        <w:jc w:val="both"/>
        <w:rPr>
          <w:rFonts w:ascii="Garamond" w:hAnsi="Garamond"/>
          <w:sz w:val="24"/>
          <w:szCs w:val="24"/>
        </w:rPr>
      </w:pPr>
      <w:r w:rsidRPr="00616CF0">
        <w:rPr>
          <w:rFonts w:ascii="Garamond" w:hAnsi="Garamond"/>
          <w:sz w:val="24"/>
          <w:szCs w:val="24"/>
        </w:rPr>
        <w:t>En el Sector Público</w:t>
      </w:r>
      <w:r w:rsidR="005167A9">
        <w:rPr>
          <w:rFonts w:ascii="Garamond" w:hAnsi="Garamond"/>
          <w:sz w:val="24"/>
          <w:szCs w:val="24"/>
        </w:rPr>
        <w:t>,</w:t>
      </w:r>
      <w:r w:rsidRPr="00616CF0">
        <w:rPr>
          <w:rFonts w:ascii="Garamond" w:hAnsi="Garamond"/>
          <w:sz w:val="24"/>
          <w:szCs w:val="24"/>
        </w:rPr>
        <w:t xml:space="preserve"> la remuneración de los servidores y funcionarios públicos se rige por la transparencia en su otorgamiento</w:t>
      </w:r>
      <w:r w:rsidR="00512F93" w:rsidRPr="00616CF0">
        <w:rPr>
          <w:rFonts w:ascii="Garamond" w:hAnsi="Garamond"/>
          <w:sz w:val="24"/>
          <w:szCs w:val="24"/>
        </w:rPr>
        <w:t xml:space="preserve"> (</w:t>
      </w:r>
      <w:proofErr w:type="spellStart"/>
      <w:r w:rsidR="00774325" w:rsidRPr="005167A9">
        <w:rPr>
          <w:rFonts w:ascii="Garamond" w:hAnsi="Garamond"/>
          <w:i/>
          <w:iCs/>
          <w:sz w:val="24"/>
          <w:szCs w:val="24"/>
        </w:rPr>
        <w:t>estabelecimento</w:t>
      </w:r>
      <w:proofErr w:type="spellEnd"/>
      <w:r w:rsidR="00774325" w:rsidRPr="005167A9">
        <w:rPr>
          <w:rFonts w:ascii="Garamond" w:hAnsi="Garamond"/>
          <w:i/>
          <w:iCs/>
          <w:sz w:val="24"/>
          <w:szCs w:val="24"/>
        </w:rPr>
        <w:t xml:space="preserve"> de mecanismos de </w:t>
      </w:r>
      <w:proofErr w:type="spellStart"/>
      <w:r w:rsidR="00774325" w:rsidRPr="005167A9">
        <w:rPr>
          <w:rFonts w:ascii="Garamond" w:hAnsi="Garamond"/>
          <w:i/>
          <w:iCs/>
          <w:sz w:val="24"/>
          <w:szCs w:val="24"/>
        </w:rPr>
        <w:t>transparência</w:t>
      </w:r>
      <w:proofErr w:type="spellEnd"/>
      <w:r w:rsidR="00774325" w:rsidRPr="005167A9">
        <w:rPr>
          <w:rFonts w:ascii="Garamond" w:hAnsi="Garamond"/>
          <w:i/>
          <w:iCs/>
          <w:sz w:val="24"/>
          <w:szCs w:val="24"/>
        </w:rPr>
        <w:t xml:space="preserve"> salarial</w:t>
      </w:r>
      <w:r w:rsidR="00512F93" w:rsidRPr="00616CF0">
        <w:rPr>
          <w:rFonts w:ascii="Garamond" w:hAnsi="Garamond"/>
          <w:sz w:val="24"/>
          <w:szCs w:val="24"/>
        </w:rPr>
        <w:t>), lo cual da lugar a la emisión de documentos de gestión que permiten establecer los montos remunerativos que percibirán los servidores y funcionarios públicos</w:t>
      </w:r>
      <w:r w:rsidR="004F6655">
        <w:rPr>
          <w:rFonts w:ascii="Garamond" w:hAnsi="Garamond"/>
          <w:sz w:val="24"/>
          <w:szCs w:val="24"/>
        </w:rPr>
        <w:t xml:space="preserve"> de cada entidad pública</w:t>
      </w:r>
      <w:r w:rsidR="00512F93" w:rsidRPr="00616CF0">
        <w:rPr>
          <w:rFonts w:ascii="Garamond" w:hAnsi="Garamond"/>
          <w:sz w:val="24"/>
          <w:szCs w:val="24"/>
        </w:rPr>
        <w:t xml:space="preserve">, </w:t>
      </w:r>
      <w:r w:rsidR="008D69D8">
        <w:rPr>
          <w:rFonts w:ascii="Garamond" w:hAnsi="Garamond"/>
          <w:sz w:val="24"/>
          <w:szCs w:val="24"/>
        </w:rPr>
        <w:t xml:space="preserve">esto nos remite </w:t>
      </w:r>
      <w:r w:rsidR="00512F93" w:rsidRPr="00616CF0">
        <w:rPr>
          <w:rFonts w:ascii="Garamond" w:hAnsi="Garamond"/>
          <w:sz w:val="24"/>
          <w:szCs w:val="24"/>
        </w:rPr>
        <w:t xml:space="preserve">a las escalas remunerativas que al </w:t>
      </w:r>
      <w:r w:rsidR="004F6655">
        <w:rPr>
          <w:rFonts w:ascii="Garamond" w:hAnsi="Garamond"/>
          <w:sz w:val="24"/>
          <w:szCs w:val="24"/>
        </w:rPr>
        <w:t>estar</w:t>
      </w:r>
      <w:r w:rsidR="00512F93" w:rsidRPr="00616CF0">
        <w:rPr>
          <w:rFonts w:ascii="Garamond" w:hAnsi="Garamond"/>
          <w:sz w:val="24"/>
          <w:szCs w:val="24"/>
        </w:rPr>
        <w:t xml:space="preserve"> contenidas en </w:t>
      </w:r>
      <w:r w:rsidR="00AA7EB6">
        <w:rPr>
          <w:rFonts w:ascii="Garamond" w:hAnsi="Garamond"/>
          <w:sz w:val="24"/>
          <w:szCs w:val="24"/>
        </w:rPr>
        <w:t xml:space="preserve"> normas administrativas</w:t>
      </w:r>
      <w:r w:rsidR="00512F93" w:rsidRPr="00616CF0">
        <w:rPr>
          <w:rFonts w:ascii="Garamond" w:hAnsi="Garamond"/>
          <w:sz w:val="24"/>
          <w:szCs w:val="24"/>
        </w:rPr>
        <w:t xml:space="preserve"> generales se sustentan en el principio de transparencia que </w:t>
      </w:r>
      <w:r w:rsidR="00146AFD">
        <w:rPr>
          <w:rFonts w:ascii="Garamond" w:hAnsi="Garamond"/>
          <w:sz w:val="24"/>
          <w:szCs w:val="24"/>
        </w:rPr>
        <w:t>obliga</w:t>
      </w:r>
      <w:r w:rsidR="00512F93" w:rsidRPr="00616CF0">
        <w:rPr>
          <w:rFonts w:ascii="Garamond" w:hAnsi="Garamond"/>
          <w:sz w:val="24"/>
          <w:szCs w:val="24"/>
        </w:rPr>
        <w:t xml:space="preserve"> a las autoridades públicas </w:t>
      </w:r>
      <w:r w:rsidR="00146AFD">
        <w:rPr>
          <w:rFonts w:ascii="Garamond" w:hAnsi="Garamond"/>
          <w:sz w:val="24"/>
          <w:szCs w:val="24"/>
        </w:rPr>
        <w:t>a dar</w:t>
      </w:r>
      <w:r w:rsidR="00A75650">
        <w:rPr>
          <w:rFonts w:ascii="Garamond" w:hAnsi="Garamond"/>
          <w:sz w:val="24"/>
          <w:szCs w:val="24"/>
        </w:rPr>
        <w:t>les</w:t>
      </w:r>
      <w:r w:rsidR="00146AFD">
        <w:rPr>
          <w:rFonts w:ascii="Garamond" w:hAnsi="Garamond"/>
          <w:sz w:val="24"/>
          <w:szCs w:val="24"/>
        </w:rPr>
        <w:t xml:space="preserve"> cumplimiento</w:t>
      </w:r>
      <w:r w:rsidR="00512F93" w:rsidRPr="00616CF0">
        <w:rPr>
          <w:rFonts w:ascii="Garamond" w:hAnsi="Garamond"/>
          <w:sz w:val="24"/>
          <w:szCs w:val="24"/>
        </w:rPr>
        <w:t>.</w:t>
      </w:r>
    </w:p>
    <w:p w14:paraId="06001358" w14:textId="77777777" w:rsidR="00E37001" w:rsidRDefault="00E37001" w:rsidP="00774325">
      <w:pPr>
        <w:pStyle w:val="Sinespaciado"/>
        <w:jc w:val="both"/>
        <w:rPr>
          <w:rFonts w:ascii="Garamond" w:hAnsi="Garamond"/>
          <w:sz w:val="24"/>
          <w:szCs w:val="24"/>
        </w:rPr>
      </w:pPr>
    </w:p>
    <w:p w14:paraId="670C576F" w14:textId="1490DB26" w:rsidR="004D2157" w:rsidRPr="00A20971" w:rsidRDefault="004D2157" w:rsidP="00774325">
      <w:pPr>
        <w:pStyle w:val="Sinespaciado"/>
        <w:jc w:val="both"/>
        <w:rPr>
          <w:rFonts w:ascii="Garamond" w:hAnsi="Garamond"/>
          <w:b/>
          <w:bCs/>
          <w:sz w:val="24"/>
          <w:szCs w:val="24"/>
        </w:rPr>
      </w:pPr>
      <w:r w:rsidRPr="00A20971">
        <w:rPr>
          <w:rFonts w:ascii="Garamond" w:hAnsi="Garamond"/>
          <w:b/>
          <w:bCs/>
          <w:sz w:val="24"/>
          <w:szCs w:val="24"/>
        </w:rPr>
        <w:t xml:space="preserve">1. </w:t>
      </w:r>
      <w:r w:rsidR="00A20971" w:rsidRPr="00A20971">
        <w:rPr>
          <w:rFonts w:ascii="Garamond" w:hAnsi="Garamond"/>
          <w:b/>
          <w:bCs/>
          <w:sz w:val="24"/>
          <w:szCs w:val="24"/>
        </w:rPr>
        <w:t>R</w:t>
      </w:r>
      <w:r w:rsidR="00A35EA1" w:rsidRPr="00A20971">
        <w:rPr>
          <w:rFonts w:ascii="Garamond" w:hAnsi="Garamond"/>
          <w:b/>
          <w:bCs/>
          <w:sz w:val="24"/>
          <w:szCs w:val="24"/>
        </w:rPr>
        <w:t>emuneración</w:t>
      </w:r>
    </w:p>
    <w:p w14:paraId="0B1A8CBA" w14:textId="156BB744" w:rsidR="00E37001" w:rsidRPr="00616CF0" w:rsidRDefault="00E37001" w:rsidP="00774325">
      <w:pPr>
        <w:pStyle w:val="Sinespaciado"/>
        <w:jc w:val="both"/>
        <w:rPr>
          <w:rFonts w:ascii="Garamond" w:hAnsi="Garamond"/>
          <w:sz w:val="24"/>
          <w:szCs w:val="24"/>
        </w:rPr>
      </w:pPr>
      <w:r w:rsidRPr="00616CF0">
        <w:rPr>
          <w:rFonts w:ascii="Garamond" w:hAnsi="Garamond"/>
          <w:sz w:val="24"/>
          <w:szCs w:val="24"/>
        </w:rPr>
        <w:t xml:space="preserve">La </w:t>
      </w:r>
      <w:r w:rsidRPr="00B46CB0">
        <w:rPr>
          <w:rFonts w:ascii="Garamond" w:hAnsi="Garamond"/>
          <w:b/>
          <w:bCs/>
          <w:sz w:val="24"/>
          <w:szCs w:val="24"/>
        </w:rPr>
        <w:t>remuneración</w:t>
      </w:r>
      <w:r w:rsidRPr="00616CF0">
        <w:rPr>
          <w:rFonts w:ascii="Garamond" w:hAnsi="Garamond"/>
          <w:sz w:val="24"/>
          <w:szCs w:val="24"/>
        </w:rPr>
        <w:t xml:space="preserve"> es lo que percibe el servidor público bajo su libre disponibilidad, de allí que se hable de la intangibilidad de remuneraciones. La remuneración es definida en el artículo 1 del Convenio </w:t>
      </w:r>
      <w:r w:rsidR="004403B7">
        <w:rPr>
          <w:rFonts w:ascii="Garamond" w:hAnsi="Garamond"/>
          <w:sz w:val="24"/>
          <w:szCs w:val="24"/>
        </w:rPr>
        <w:t xml:space="preserve">OIT </w:t>
      </w:r>
      <w:r w:rsidRPr="00616CF0">
        <w:rPr>
          <w:rFonts w:ascii="Garamond" w:hAnsi="Garamond"/>
          <w:sz w:val="24"/>
          <w:szCs w:val="24"/>
        </w:rPr>
        <w:t xml:space="preserve">sobre igualdad de remuneración (Convenio OIT 100) que indica </w:t>
      </w:r>
    </w:p>
    <w:p w14:paraId="43FD0F17" w14:textId="77777777" w:rsidR="00E37001" w:rsidRPr="00616CF0" w:rsidRDefault="00E37001" w:rsidP="00774325">
      <w:pPr>
        <w:pStyle w:val="Sinespaciado"/>
        <w:jc w:val="both"/>
        <w:rPr>
          <w:rFonts w:ascii="Garamond" w:hAnsi="Garamond"/>
          <w:sz w:val="24"/>
          <w:szCs w:val="24"/>
        </w:rPr>
      </w:pPr>
    </w:p>
    <w:p w14:paraId="6F6CCE8B" w14:textId="77777777" w:rsidR="00E37001" w:rsidRPr="004403B7" w:rsidRDefault="00E37001" w:rsidP="00774325">
      <w:pPr>
        <w:pStyle w:val="Sinespaciado"/>
        <w:jc w:val="both"/>
        <w:rPr>
          <w:rFonts w:ascii="Garamond" w:hAnsi="Garamond"/>
          <w:i/>
          <w:iCs/>
          <w:sz w:val="24"/>
          <w:szCs w:val="24"/>
        </w:rPr>
      </w:pPr>
      <w:r w:rsidRPr="004403B7">
        <w:rPr>
          <w:rFonts w:ascii="Garamond" w:hAnsi="Garamond"/>
          <w:i/>
          <w:iCs/>
          <w:sz w:val="24"/>
          <w:szCs w:val="24"/>
        </w:rPr>
        <w:t>“el término </w:t>
      </w:r>
      <w:r w:rsidRPr="004403B7">
        <w:rPr>
          <w:rFonts w:ascii="Garamond" w:hAnsi="Garamond"/>
          <w:b/>
          <w:bCs/>
          <w:i/>
          <w:iCs/>
          <w:sz w:val="24"/>
          <w:szCs w:val="24"/>
        </w:rPr>
        <w:t>remuneración</w:t>
      </w:r>
      <w:r w:rsidRPr="004403B7">
        <w:rPr>
          <w:rFonts w:ascii="Garamond" w:hAnsi="Garamond"/>
          <w:i/>
          <w:iCs/>
          <w:sz w:val="24"/>
          <w:szCs w:val="24"/>
        </w:rPr>
        <w:t> comprende el salario o sueldo ordinario, básico o mínimo, y cualquier otro emolumento en dinero o en especie pagados por el empleador, directa o indirectamente, al trabajador, en concepto del empleo de este último”.</w:t>
      </w:r>
    </w:p>
    <w:p w14:paraId="7C5C7E91" w14:textId="77777777" w:rsidR="00E37001" w:rsidRPr="00616CF0" w:rsidRDefault="00E37001" w:rsidP="00774325">
      <w:pPr>
        <w:pStyle w:val="Sinespaciado"/>
        <w:jc w:val="both"/>
        <w:rPr>
          <w:rFonts w:ascii="Garamond" w:hAnsi="Garamond"/>
          <w:sz w:val="24"/>
          <w:szCs w:val="24"/>
        </w:rPr>
      </w:pPr>
    </w:p>
    <w:p w14:paraId="0DC4000F" w14:textId="6DE22E62" w:rsidR="00E37001" w:rsidRPr="00616CF0" w:rsidRDefault="00E37001" w:rsidP="00774325">
      <w:pPr>
        <w:pStyle w:val="Sinespaciado"/>
        <w:jc w:val="both"/>
        <w:rPr>
          <w:rFonts w:ascii="Garamond" w:hAnsi="Garamond"/>
          <w:sz w:val="24"/>
          <w:szCs w:val="24"/>
        </w:rPr>
      </w:pPr>
      <w:r w:rsidRPr="00616CF0">
        <w:rPr>
          <w:rFonts w:ascii="Garamond" w:hAnsi="Garamond"/>
          <w:sz w:val="24"/>
          <w:szCs w:val="24"/>
        </w:rPr>
        <w:t xml:space="preserve">De esta manera, en el caso de los servidores públicos, cuando nos referimos a la </w:t>
      </w:r>
      <w:r w:rsidRPr="00B46CB0">
        <w:rPr>
          <w:rFonts w:ascii="Garamond" w:hAnsi="Garamond"/>
          <w:b/>
          <w:bCs/>
          <w:sz w:val="24"/>
          <w:szCs w:val="24"/>
        </w:rPr>
        <w:t>remuneración</w:t>
      </w:r>
      <w:r w:rsidRPr="00616CF0">
        <w:rPr>
          <w:rFonts w:ascii="Garamond" w:hAnsi="Garamond"/>
          <w:sz w:val="24"/>
          <w:szCs w:val="24"/>
        </w:rPr>
        <w:t xml:space="preserve"> consideraremos su remuneración básica y todos los emolumentos que en dinero le abona la entidad pública en su calidad de empleador como contraprestación por los servicios prestados bajo subordinación, lo indicado implica que no serán conceptos remunerativos aquellos que por ley se consideren como conceptos </w:t>
      </w:r>
      <w:r w:rsidR="00E450F4">
        <w:rPr>
          <w:rFonts w:ascii="Garamond" w:hAnsi="Garamond"/>
          <w:sz w:val="24"/>
          <w:szCs w:val="24"/>
        </w:rPr>
        <w:t xml:space="preserve">no </w:t>
      </w:r>
      <w:r w:rsidRPr="00616CF0">
        <w:rPr>
          <w:rFonts w:ascii="Garamond" w:hAnsi="Garamond"/>
          <w:sz w:val="24"/>
          <w:szCs w:val="24"/>
        </w:rPr>
        <w:t xml:space="preserve">remunerativos, </w:t>
      </w:r>
      <w:r w:rsidRPr="00FF5648">
        <w:rPr>
          <w:rFonts w:ascii="Garamond" w:hAnsi="Garamond"/>
          <w:i/>
          <w:iCs/>
          <w:sz w:val="24"/>
          <w:szCs w:val="24"/>
        </w:rPr>
        <w:t>ergo</w:t>
      </w:r>
      <w:r w:rsidRPr="00616CF0">
        <w:rPr>
          <w:rFonts w:ascii="Garamond" w:hAnsi="Garamond"/>
          <w:sz w:val="24"/>
          <w:szCs w:val="24"/>
        </w:rPr>
        <w:t>, una escala remunerativa en el sector público solo se refiere a la suma de las remuneraciones y conceptos remunerativos que percibe el servidor público</w:t>
      </w:r>
      <w:r w:rsidR="00FF5648">
        <w:rPr>
          <w:rFonts w:ascii="Garamond" w:hAnsi="Garamond"/>
          <w:sz w:val="24"/>
          <w:szCs w:val="24"/>
        </w:rPr>
        <w:t>, no se refiere a los conceptos no remunerativos</w:t>
      </w:r>
      <w:r w:rsidR="00613897">
        <w:rPr>
          <w:rFonts w:ascii="Garamond" w:hAnsi="Garamond"/>
          <w:sz w:val="24"/>
          <w:szCs w:val="24"/>
        </w:rPr>
        <w:t>, los cuales pueden ser considerados en otros documentos de gestión</w:t>
      </w:r>
      <w:r w:rsidR="003C1B1D">
        <w:rPr>
          <w:rFonts w:ascii="Garamond" w:hAnsi="Garamond"/>
          <w:sz w:val="24"/>
          <w:szCs w:val="24"/>
        </w:rPr>
        <w:t xml:space="preserve"> como</w:t>
      </w:r>
      <w:r w:rsidR="00613897">
        <w:rPr>
          <w:rFonts w:ascii="Garamond" w:hAnsi="Garamond"/>
          <w:sz w:val="24"/>
          <w:szCs w:val="24"/>
        </w:rPr>
        <w:t xml:space="preserve">, </w:t>
      </w:r>
      <w:r w:rsidR="00613897" w:rsidRPr="003C1B1D">
        <w:rPr>
          <w:rFonts w:ascii="Garamond" w:hAnsi="Garamond"/>
          <w:i/>
          <w:iCs/>
          <w:sz w:val="24"/>
          <w:szCs w:val="24"/>
        </w:rPr>
        <w:t>verbi gratia</w:t>
      </w:r>
      <w:r w:rsidR="00613897">
        <w:rPr>
          <w:rFonts w:ascii="Garamond" w:hAnsi="Garamond"/>
          <w:sz w:val="24"/>
          <w:szCs w:val="24"/>
        </w:rPr>
        <w:t xml:space="preserve">, el </w:t>
      </w:r>
      <w:r w:rsidR="006B383B">
        <w:rPr>
          <w:rFonts w:ascii="Garamond" w:hAnsi="Garamond"/>
          <w:sz w:val="24"/>
          <w:szCs w:val="24"/>
        </w:rPr>
        <w:t>Presupuesto Analítico de Personal (PAP)</w:t>
      </w:r>
      <w:r w:rsidRPr="00616CF0">
        <w:rPr>
          <w:rFonts w:ascii="Garamond" w:hAnsi="Garamond"/>
          <w:sz w:val="24"/>
          <w:szCs w:val="24"/>
        </w:rPr>
        <w:t>.</w:t>
      </w:r>
    </w:p>
    <w:p w14:paraId="176ADDD2" w14:textId="77777777" w:rsidR="00E37001" w:rsidRPr="00616CF0" w:rsidRDefault="00E37001" w:rsidP="00774325">
      <w:pPr>
        <w:pStyle w:val="Sinespaciado"/>
        <w:jc w:val="both"/>
        <w:rPr>
          <w:rFonts w:ascii="Garamond" w:hAnsi="Garamond"/>
          <w:sz w:val="24"/>
          <w:szCs w:val="24"/>
        </w:rPr>
      </w:pPr>
    </w:p>
    <w:p w14:paraId="1B3DE722" w14:textId="31796457" w:rsidR="00B638A7" w:rsidRPr="00616CF0" w:rsidRDefault="0044733A" w:rsidP="00774325">
      <w:pPr>
        <w:pStyle w:val="Sinespaciado"/>
        <w:jc w:val="both"/>
        <w:rPr>
          <w:rFonts w:ascii="Garamond" w:hAnsi="Garamond"/>
          <w:sz w:val="24"/>
          <w:szCs w:val="24"/>
        </w:rPr>
      </w:pPr>
      <w:r>
        <w:rPr>
          <w:rFonts w:ascii="Garamond" w:hAnsi="Garamond"/>
          <w:sz w:val="24"/>
          <w:szCs w:val="24"/>
        </w:rPr>
        <w:t xml:space="preserve">Ahora bien, la remuneración que percibe el servidor público debe ser </w:t>
      </w:r>
      <w:r w:rsidRPr="00B46CB0">
        <w:rPr>
          <w:rFonts w:ascii="Garamond" w:hAnsi="Garamond"/>
          <w:b/>
          <w:bCs/>
          <w:sz w:val="24"/>
          <w:szCs w:val="24"/>
        </w:rPr>
        <w:t>equitativa</w:t>
      </w:r>
      <w:r w:rsidR="00602B55">
        <w:rPr>
          <w:rFonts w:ascii="Garamond" w:hAnsi="Garamond"/>
          <w:sz w:val="24"/>
          <w:szCs w:val="24"/>
        </w:rPr>
        <w:t>, esto es, que debe de responder al principio de equidad, por el cual se deberá de pagar la remuneración teniendo en cuenta la</w:t>
      </w:r>
      <w:r w:rsidR="009C1185">
        <w:rPr>
          <w:rFonts w:ascii="Garamond" w:hAnsi="Garamond"/>
          <w:sz w:val="24"/>
          <w:szCs w:val="24"/>
        </w:rPr>
        <w:t xml:space="preserve"> capacidad, experiencia y formación que se requieren para prestar servicios en un </w:t>
      </w:r>
      <w:r w:rsidR="005561B1">
        <w:rPr>
          <w:rFonts w:ascii="Garamond" w:hAnsi="Garamond"/>
          <w:sz w:val="24"/>
          <w:szCs w:val="24"/>
        </w:rPr>
        <w:t xml:space="preserve">determinado </w:t>
      </w:r>
      <w:r w:rsidR="009C1185">
        <w:rPr>
          <w:rFonts w:ascii="Garamond" w:hAnsi="Garamond"/>
          <w:sz w:val="24"/>
          <w:szCs w:val="24"/>
        </w:rPr>
        <w:t>cargo público</w:t>
      </w:r>
      <w:r w:rsidR="00BA26A2">
        <w:rPr>
          <w:rFonts w:ascii="Garamond" w:hAnsi="Garamond"/>
          <w:sz w:val="24"/>
          <w:szCs w:val="24"/>
        </w:rPr>
        <w:t xml:space="preserve">; por su parte, la remuneración debe ser </w:t>
      </w:r>
      <w:r w:rsidR="00BA26A2" w:rsidRPr="005561B1">
        <w:rPr>
          <w:rFonts w:ascii="Garamond" w:hAnsi="Garamond"/>
          <w:b/>
          <w:bCs/>
          <w:sz w:val="24"/>
          <w:szCs w:val="24"/>
        </w:rPr>
        <w:t>suficiente</w:t>
      </w:r>
      <w:r w:rsidR="00BA26A2">
        <w:rPr>
          <w:rFonts w:ascii="Garamond" w:hAnsi="Garamond"/>
          <w:sz w:val="24"/>
          <w:szCs w:val="24"/>
        </w:rPr>
        <w:t xml:space="preserve">, esto es, que debe de tener en cuenta el costo de vida mensual en la localidad </w:t>
      </w:r>
      <w:r w:rsidR="00B46CB0">
        <w:rPr>
          <w:rFonts w:ascii="Garamond" w:hAnsi="Garamond"/>
          <w:sz w:val="24"/>
          <w:szCs w:val="24"/>
        </w:rPr>
        <w:t>donde labora el servidor público, estas dos (2) característica</w:t>
      </w:r>
      <w:r w:rsidR="005561B1">
        <w:rPr>
          <w:rFonts w:ascii="Garamond" w:hAnsi="Garamond"/>
          <w:sz w:val="24"/>
          <w:szCs w:val="24"/>
        </w:rPr>
        <w:t>s</w:t>
      </w:r>
      <w:r w:rsidR="00B46CB0">
        <w:rPr>
          <w:rFonts w:ascii="Garamond" w:hAnsi="Garamond"/>
          <w:sz w:val="24"/>
          <w:szCs w:val="24"/>
        </w:rPr>
        <w:t xml:space="preserve"> son prevista</w:t>
      </w:r>
      <w:r w:rsidR="005561B1">
        <w:rPr>
          <w:rFonts w:ascii="Garamond" w:hAnsi="Garamond"/>
          <w:sz w:val="24"/>
          <w:szCs w:val="24"/>
        </w:rPr>
        <w:t>s</w:t>
      </w:r>
      <w:r w:rsidR="00B46CB0">
        <w:rPr>
          <w:rFonts w:ascii="Garamond" w:hAnsi="Garamond"/>
          <w:sz w:val="24"/>
          <w:szCs w:val="24"/>
        </w:rPr>
        <w:t xml:space="preserve"> en e</w:t>
      </w:r>
      <w:r w:rsidR="00B638A7" w:rsidRPr="00616CF0">
        <w:rPr>
          <w:rFonts w:ascii="Garamond" w:hAnsi="Garamond"/>
          <w:sz w:val="24"/>
          <w:szCs w:val="24"/>
        </w:rPr>
        <w:t>l artículo 24 de la Constitución Política del Perú establece</w:t>
      </w:r>
    </w:p>
    <w:p w14:paraId="614A397E" w14:textId="77777777" w:rsidR="00B638A7" w:rsidRPr="00616CF0" w:rsidRDefault="00B638A7" w:rsidP="00774325">
      <w:pPr>
        <w:pStyle w:val="Sinespaciado"/>
        <w:jc w:val="both"/>
        <w:rPr>
          <w:rFonts w:ascii="Garamond" w:hAnsi="Garamond"/>
          <w:sz w:val="24"/>
          <w:szCs w:val="24"/>
        </w:rPr>
      </w:pPr>
    </w:p>
    <w:p w14:paraId="66F34D37" w14:textId="15F59E07" w:rsidR="00B638A7" w:rsidRPr="00B46CB0" w:rsidRDefault="00B638A7" w:rsidP="00774325">
      <w:pPr>
        <w:pStyle w:val="Sinespaciado"/>
        <w:jc w:val="both"/>
        <w:rPr>
          <w:rFonts w:ascii="Garamond" w:hAnsi="Garamond"/>
          <w:i/>
          <w:iCs/>
          <w:sz w:val="24"/>
          <w:szCs w:val="24"/>
        </w:rPr>
      </w:pPr>
      <w:r w:rsidRPr="00B46CB0">
        <w:rPr>
          <w:rFonts w:ascii="Garamond" w:hAnsi="Garamond"/>
          <w:i/>
          <w:iCs/>
          <w:sz w:val="24"/>
          <w:szCs w:val="24"/>
        </w:rPr>
        <w:t>“</w:t>
      </w:r>
      <w:r w:rsidR="00475CEF" w:rsidRPr="00B46CB0">
        <w:rPr>
          <w:rFonts w:ascii="Garamond" w:hAnsi="Garamond"/>
          <w:i/>
          <w:iCs/>
          <w:sz w:val="24"/>
          <w:szCs w:val="24"/>
        </w:rPr>
        <w:t>El trabajador tiene derecho a una remuneración equitativa y suficiente, que procure, para él y su familia, el bienestar material y espiritual”.</w:t>
      </w:r>
    </w:p>
    <w:p w14:paraId="27626F42" w14:textId="77777777" w:rsidR="00620AEF" w:rsidRPr="00616CF0" w:rsidRDefault="00620AEF" w:rsidP="00774325">
      <w:pPr>
        <w:pStyle w:val="Sinespaciado"/>
        <w:jc w:val="both"/>
        <w:rPr>
          <w:rFonts w:ascii="Garamond" w:hAnsi="Garamond"/>
          <w:sz w:val="24"/>
          <w:szCs w:val="24"/>
        </w:rPr>
      </w:pPr>
    </w:p>
    <w:p w14:paraId="2A79A572" w14:textId="14EAE967" w:rsidR="00A35EA1" w:rsidRPr="00091E89" w:rsidRDefault="00091E89" w:rsidP="00774325">
      <w:pPr>
        <w:pStyle w:val="Sinespaciado"/>
        <w:jc w:val="both"/>
        <w:rPr>
          <w:rFonts w:ascii="Garamond" w:hAnsi="Garamond"/>
          <w:b/>
          <w:bCs/>
          <w:sz w:val="24"/>
          <w:szCs w:val="24"/>
        </w:rPr>
      </w:pPr>
      <w:r w:rsidRPr="00091E89">
        <w:rPr>
          <w:rFonts w:ascii="Garamond" w:hAnsi="Garamond"/>
          <w:b/>
          <w:bCs/>
          <w:sz w:val="24"/>
          <w:szCs w:val="24"/>
        </w:rPr>
        <w:t xml:space="preserve">2. </w:t>
      </w:r>
      <w:r w:rsidR="00F34046">
        <w:rPr>
          <w:rFonts w:ascii="Garamond" w:hAnsi="Garamond"/>
          <w:b/>
          <w:bCs/>
          <w:sz w:val="24"/>
          <w:szCs w:val="24"/>
        </w:rPr>
        <w:t>Diferencia entre nivelación y homologación de remuneraciones</w:t>
      </w:r>
    </w:p>
    <w:p w14:paraId="12D7DED3" w14:textId="1C5BEDBA" w:rsidR="00E37001" w:rsidRPr="00616CF0" w:rsidRDefault="00E37001" w:rsidP="00774325">
      <w:pPr>
        <w:pStyle w:val="Sinespaciado"/>
        <w:jc w:val="both"/>
        <w:rPr>
          <w:rFonts w:ascii="Garamond" w:hAnsi="Garamond"/>
          <w:sz w:val="24"/>
          <w:szCs w:val="24"/>
        </w:rPr>
      </w:pPr>
      <w:r w:rsidRPr="00616CF0">
        <w:rPr>
          <w:rFonts w:ascii="Garamond" w:hAnsi="Garamond"/>
          <w:sz w:val="24"/>
          <w:szCs w:val="24"/>
        </w:rPr>
        <w:lastRenderedPageBreak/>
        <w:t>Ahora bien, la nivelación de remuneraciones que se sustenta en el principio de igual</w:t>
      </w:r>
      <w:r w:rsidR="009D5BE1">
        <w:rPr>
          <w:rFonts w:ascii="Garamond" w:hAnsi="Garamond"/>
          <w:sz w:val="24"/>
          <w:szCs w:val="24"/>
        </w:rPr>
        <w:t>dad</w:t>
      </w:r>
      <w:r w:rsidRPr="00616CF0">
        <w:rPr>
          <w:rFonts w:ascii="Garamond" w:hAnsi="Garamond"/>
          <w:sz w:val="24"/>
          <w:szCs w:val="24"/>
        </w:rPr>
        <w:t xml:space="preserve"> </w:t>
      </w:r>
      <w:r w:rsidR="00B17FE1">
        <w:rPr>
          <w:rFonts w:ascii="Garamond" w:hAnsi="Garamond"/>
          <w:sz w:val="24"/>
          <w:szCs w:val="24"/>
        </w:rPr>
        <w:t>remunerativa</w:t>
      </w:r>
      <w:r w:rsidRPr="00616CF0">
        <w:rPr>
          <w:rFonts w:ascii="Garamond" w:hAnsi="Garamond"/>
          <w:sz w:val="24"/>
          <w:szCs w:val="24"/>
        </w:rPr>
        <w:t xml:space="preserve"> (</w:t>
      </w:r>
      <w:proofErr w:type="spellStart"/>
      <w:r w:rsidRPr="00621203">
        <w:rPr>
          <w:rFonts w:ascii="Garamond" w:hAnsi="Garamond"/>
          <w:i/>
          <w:iCs/>
          <w:sz w:val="24"/>
          <w:szCs w:val="24"/>
        </w:rPr>
        <w:t>Gleichheit</w:t>
      </w:r>
      <w:proofErr w:type="spellEnd"/>
      <w:r w:rsidRPr="00621203">
        <w:rPr>
          <w:rFonts w:ascii="Garamond" w:hAnsi="Garamond"/>
          <w:i/>
          <w:iCs/>
          <w:sz w:val="24"/>
          <w:szCs w:val="24"/>
        </w:rPr>
        <w:t xml:space="preserve"> des </w:t>
      </w:r>
      <w:proofErr w:type="spellStart"/>
      <w:r w:rsidRPr="00621203">
        <w:rPr>
          <w:rFonts w:ascii="Garamond" w:hAnsi="Garamond"/>
          <w:i/>
          <w:iCs/>
          <w:sz w:val="24"/>
          <w:szCs w:val="24"/>
        </w:rPr>
        <w:t>Entgelts</w:t>
      </w:r>
      <w:proofErr w:type="spellEnd"/>
      <w:r w:rsidRPr="00616CF0">
        <w:rPr>
          <w:rFonts w:ascii="Garamond" w:hAnsi="Garamond"/>
          <w:sz w:val="24"/>
          <w:szCs w:val="24"/>
        </w:rPr>
        <w:t>) se remite a la verticalidad, más que a la horizontalidad, diferenciándose de esta manera de la homologación de remuneraciones. Nos explicamos.</w:t>
      </w:r>
      <w:r w:rsidR="005167E8" w:rsidRPr="00616CF0">
        <w:rPr>
          <w:rFonts w:ascii="Garamond" w:hAnsi="Garamond"/>
          <w:sz w:val="24"/>
          <w:szCs w:val="24"/>
        </w:rPr>
        <w:t xml:space="preserve"> Existiendo una escala remunerativa, el servidor público aspira a </w:t>
      </w:r>
      <w:r w:rsidR="00EC5836" w:rsidRPr="00616CF0">
        <w:rPr>
          <w:rFonts w:ascii="Garamond" w:hAnsi="Garamond"/>
          <w:sz w:val="24"/>
          <w:szCs w:val="24"/>
        </w:rPr>
        <w:t xml:space="preserve">percibir la máxima remuneración prevista en la escala, esto es, una aspiración vertical; por otro lado, existiendo un servidor público que percibe una remuneración superior a otro servidor público, </w:t>
      </w:r>
      <w:r w:rsidR="002049DA">
        <w:rPr>
          <w:rFonts w:ascii="Garamond" w:hAnsi="Garamond"/>
          <w:sz w:val="24"/>
          <w:szCs w:val="24"/>
        </w:rPr>
        <w:t>e</w:t>
      </w:r>
      <w:r w:rsidR="00EC5836" w:rsidRPr="00616CF0">
        <w:rPr>
          <w:rFonts w:ascii="Garamond" w:hAnsi="Garamond"/>
          <w:sz w:val="24"/>
          <w:szCs w:val="24"/>
        </w:rPr>
        <w:t>ste aspira percibir la remuneración que percibe su hom</w:t>
      </w:r>
      <w:r w:rsidR="002049DA">
        <w:rPr>
          <w:rFonts w:ascii="Garamond" w:hAnsi="Garamond"/>
          <w:sz w:val="24"/>
          <w:szCs w:val="24"/>
        </w:rPr>
        <w:t>ó</w:t>
      </w:r>
      <w:r w:rsidR="00EC5836" w:rsidRPr="00616CF0">
        <w:rPr>
          <w:rFonts w:ascii="Garamond" w:hAnsi="Garamond"/>
          <w:sz w:val="24"/>
          <w:szCs w:val="24"/>
        </w:rPr>
        <w:t>logo</w:t>
      </w:r>
      <w:r w:rsidR="00287827">
        <w:rPr>
          <w:rFonts w:ascii="Garamond" w:hAnsi="Garamond"/>
          <w:sz w:val="24"/>
          <w:szCs w:val="24"/>
        </w:rPr>
        <w:t xml:space="preserve"> (horizontal)</w:t>
      </w:r>
      <w:r w:rsidR="00EC5836" w:rsidRPr="00616CF0">
        <w:rPr>
          <w:rFonts w:ascii="Garamond" w:hAnsi="Garamond"/>
          <w:sz w:val="24"/>
          <w:szCs w:val="24"/>
        </w:rPr>
        <w:t>, sustentado en el principio a igual trabajo, igual remuneración (</w:t>
      </w:r>
      <w:proofErr w:type="spellStart"/>
      <w:r w:rsidR="00EC5836" w:rsidRPr="00287827">
        <w:rPr>
          <w:rFonts w:ascii="Garamond" w:hAnsi="Garamond"/>
          <w:i/>
          <w:iCs/>
          <w:sz w:val="24"/>
          <w:szCs w:val="24"/>
        </w:rPr>
        <w:t>Equal</w:t>
      </w:r>
      <w:proofErr w:type="spellEnd"/>
      <w:r w:rsidR="00EC5836" w:rsidRPr="00287827">
        <w:rPr>
          <w:rFonts w:ascii="Garamond" w:hAnsi="Garamond"/>
          <w:i/>
          <w:iCs/>
          <w:sz w:val="24"/>
          <w:szCs w:val="24"/>
        </w:rPr>
        <w:t xml:space="preserve"> </w:t>
      </w:r>
      <w:proofErr w:type="spellStart"/>
      <w:r w:rsidR="00EC5836" w:rsidRPr="00287827">
        <w:rPr>
          <w:rFonts w:ascii="Garamond" w:hAnsi="Garamond"/>
          <w:i/>
          <w:iCs/>
          <w:sz w:val="24"/>
          <w:szCs w:val="24"/>
        </w:rPr>
        <w:t>pay</w:t>
      </w:r>
      <w:proofErr w:type="spellEnd"/>
      <w:r w:rsidR="00EC5836" w:rsidRPr="00287827">
        <w:rPr>
          <w:rFonts w:ascii="Garamond" w:hAnsi="Garamond"/>
          <w:i/>
          <w:iCs/>
          <w:sz w:val="24"/>
          <w:szCs w:val="24"/>
        </w:rPr>
        <w:t xml:space="preserve"> </w:t>
      </w:r>
      <w:proofErr w:type="spellStart"/>
      <w:r w:rsidR="00EC5836" w:rsidRPr="00287827">
        <w:rPr>
          <w:rFonts w:ascii="Garamond" w:hAnsi="Garamond"/>
          <w:i/>
          <w:iCs/>
          <w:sz w:val="24"/>
          <w:szCs w:val="24"/>
        </w:rPr>
        <w:t>for</w:t>
      </w:r>
      <w:proofErr w:type="spellEnd"/>
      <w:r w:rsidR="00EC5836" w:rsidRPr="00287827">
        <w:rPr>
          <w:rFonts w:ascii="Garamond" w:hAnsi="Garamond"/>
          <w:i/>
          <w:iCs/>
          <w:sz w:val="24"/>
          <w:szCs w:val="24"/>
        </w:rPr>
        <w:t xml:space="preserve"> </w:t>
      </w:r>
      <w:proofErr w:type="spellStart"/>
      <w:r w:rsidR="00EC5836" w:rsidRPr="00287827">
        <w:rPr>
          <w:rFonts w:ascii="Garamond" w:hAnsi="Garamond"/>
          <w:i/>
          <w:iCs/>
          <w:sz w:val="24"/>
          <w:szCs w:val="24"/>
        </w:rPr>
        <w:t>equal</w:t>
      </w:r>
      <w:proofErr w:type="spellEnd"/>
      <w:r w:rsidR="00EC5836" w:rsidRPr="00287827">
        <w:rPr>
          <w:rFonts w:ascii="Garamond" w:hAnsi="Garamond"/>
          <w:i/>
          <w:iCs/>
          <w:sz w:val="24"/>
          <w:szCs w:val="24"/>
        </w:rPr>
        <w:t xml:space="preserve"> </w:t>
      </w:r>
      <w:proofErr w:type="spellStart"/>
      <w:r w:rsidR="00EC5836" w:rsidRPr="00287827">
        <w:rPr>
          <w:rFonts w:ascii="Garamond" w:hAnsi="Garamond"/>
          <w:i/>
          <w:iCs/>
          <w:sz w:val="24"/>
          <w:szCs w:val="24"/>
        </w:rPr>
        <w:t>work</w:t>
      </w:r>
      <w:proofErr w:type="spellEnd"/>
      <w:r w:rsidR="00EC5836" w:rsidRPr="00616CF0">
        <w:rPr>
          <w:rFonts w:ascii="Garamond" w:hAnsi="Garamond"/>
          <w:sz w:val="24"/>
          <w:szCs w:val="24"/>
        </w:rPr>
        <w:t>)</w:t>
      </w:r>
      <w:r w:rsidR="0055266A" w:rsidRPr="00616CF0">
        <w:rPr>
          <w:rFonts w:ascii="Garamond" w:hAnsi="Garamond"/>
          <w:sz w:val="24"/>
          <w:szCs w:val="24"/>
        </w:rPr>
        <w:t>.</w:t>
      </w:r>
    </w:p>
    <w:p w14:paraId="5C16BA62" w14:textId="77777777" w:rsidR="0055266A" w:rsidRDefault="0055266A" w:rsidP="00774325">
      <w:pPr>
        <w:pStyle w:val="Sinespaciado"/>
        <w:jc w:val="both"/>
        <w:rPr>
          <w:rFonts w:ascii="Garamond" w:hAnsi="Garamond"/>
          <w:sz w:val="24"/>
          <w:szCs w:val="24"/>
        </w:rPr>
      </w:pPr>
    </w:p>
    <w:tbl>
      <w:tblPr>
        <w:tblStyle w:val="Tablaconcuadrcula"/>
        <w:tblW w:w="8681" w:type="dxa"/>
        <w:tblLook w:val="04A0" w:firstRow="1" w:lastRow="0" w:firstColumn="1" w:lastColumn="0" w:noHBand="0" w:noVBand="1"/>
      </w:tblPr>
      <w:tblGrid>
        <w:gridCol w:w="2960"/>
        <w:gridCol w:w="5721"/>
      </w:tblGrid>
      <w:tr w:rsidR="00B05F03" w:rsidRPr="00D81AC7" w14:paraId="371AB0BF" w14:textId="77777777" w:rsidTr="00B05F03">
        <w:tc>
          <w:tcPr>
            <w:tcW w:w="0" w:type="auto"/>
            <w:hideMark/>
          </w:tcPr>
          <w:p w14:paraId="76D15547" w14:textId="2F4BB4FB" w:rsidR="00B05F03" w:rsidRPr="00B05F03" w:rsidRDefault="00B05F03" w:rsidP="00B05F03">
            <w:pPr>
              <w:pStyle w:val="Sinespaciado"/>
              <w:jc w:val="center"/>
              <w:rPr>
                <w:rFonts w:ascii="Calibri" w:hAnsi="Calibri" w:cs="Calibri"/>
                <w:b/>
                <w:bCs/>
                <w:sz w:val="20"/>
                <w:szCs w:val="20"/>
              </w:rPr>
            </w:pPr>
            <w:r w:rsidRPr="00D81AC7">
              <w:rPr>
                <w:rFonts w:ascii="Calibri" w:hAnsi="Calibri" w:cs="Calibri"/>
                <w:b/>
                <w:bCs/>
                <w:sz w:val="20"/>
                <w:szCs w:val="20"/>
              </w:rPr>
              <w:t>Definición</w:t>
            </w:r>
          </w:p>
        </w:tc>
        <w:tc>
          <w:tcPr>
            <w:tcW w:w="0" w:type="auto"/>
            <w:hideMark/>
          </w:tcPr>
          <w:p w14:paraId="57C18BBD" w14:textId="77777777" w:rsidR="00B05F03" w:rsidRPr="00B05F03" w:rsidRDefault="00B05F03" w:rsidP="00B05F03">
            <w:pPr>
              <w:pStyle w:val="Sinespaciado"/>
              <w:jc w:val="center"/>
              <w:rPr>
                <w:rFonts w:ascii="Calibri" w:hAnsi="Calibri" w:cs="Calibri"/>
                <w:b/>
                <w:bCs/>
                <w:sz w:val="20"/>
                <w:szCs w:val="20"/>
              </w:rPr>
            </w:pPr>
            <w:r w:rsidRPr="00B05F03">
              <w:rPr>
                <w:rFonts w:ascii="Calibri" w:hAnsi="Calibri" w:cs="Calibri"/>
                <w:b/>
                <w:bCs/>
                <w:sz w:val="20"/>
                <w:szCs w:val="20"/>
              </w:rPr>
              <w:t>Descripción</w:t>
            </w:r>
          </w:p>
        </w:tc>
      </w:tr>
      <w:tr w:rsidR="00B05F03" w:rsidRPr="00D81AC7" w14:paraId="5815B607" w14:textId="77777777" w:rsidTr="00B05F03">
        <w:tc>
          <w:tcPr>
            <w:tcW w:w="0" w:type="auto"/>
            <w:hideMark/>
          </w:tcPr>
          <w:p w14:paraId="6623A8B8" w14:textId="77777777" w:rsidR="00B05F03" w:rsidRPr="00B05F03" w:rsidRDefault="00B05F03" w:rsidP="00D81AC7">
            <w:pPr>
              <w:pStyle w:val="Sinespaciado"/>
              <w:jc w:val="center"/>
              <w:rPr>
                <w:rFonts w:ascii="Calibri" w:hAnsi="Calibri" w:cs="Calibri"/>
                <w:sz w:val="20"/>
                <w:szCs w:val="20"/>
              </w:rPr>
            </w:pPr>
            <w:r w:rsidRPr="00B05F03">
              <w:rPr>
                <w:rFonts w:ascii="Calibri" w:hAnsi="Calibri" w:cs="Calibri"/>
                <w:b/>
                <w:bCs/>
                <w:sz w:val="20"/>
                <w:szCs w:val="20"/>
              </w:rPr>
              <w:t>Nivelación de remuneraciones (verticalidad)</w:t>
            </w:r>
          </w:p>
        </w:tc>
        <w:tc>
          <w:tcPr>
            <w:tcW w:w="0" w:type="auto"/>
            <w:hideMark/>
          </w:tcPr>
          <w:p w14:paraId="010C834C" w14:textId="77777777" w:rsidR="00B05F03" w:rsidRPr="00B05F03" w:rsidRDefault="00B05F03" w:rsidP="00D81AC7">
            <w:pPr>
              <w:pStyle w:val="Sinespaciado"/>
              <w:jc w:val="both"/>
              <w:rPr>
                <w:rFonts w:ascii="Calibri" w:hAnsi="Calibri" w:cs="Calibri"/>
                <w:sz w:val="20"/>
                <w:szCs w:val="20"/>
              </w:rPr>
            </w:pPr>
            <w:r w:rsidRPr="00B05F03">
              <w:rPr>
                <w:rFonts w:ascii="Calibri" w:hAnsi="Calibri" w:cs="Calibri"/>
                <w:sz w:val="20"/>
                <w:szCs w:val="20"/>
              </w:rPr>
              <w:t>Aspiración del servidor público a alcanzar la máxima remuneración dentro de una escala salarial.</w:t>
            </w:r>
          </w:p>
        </w:tc>
      </w:tr>
      <w:tr w:rsidR="00B05F03" w:rsidRPr="00D81AC7" w14:paraId="4780BF1E" w14:textId="77777777" w:rsidTr="00B05F03">
        <w:tc>
          <w:tcPr>
            <w:tcW w:w="0" w:type="auto"/>
            <w:hideMark/>
          </w:tcPr>
          <w:p w14:paraId="79F25E05" w14:textId="77777777" w:rsidR="00B05F03" w:rsidRPr="00B05F03" w:rsidRDefault="00B05F03" w:rsidP="00D81AC7">
            <w:pPr>
              <w:pStyle w:val="Sinespaciado"/>
              <w:jc w:val="center"/>
              <w:rPr>
                <w:rFonts w:ascii="Calibri" w:hAnsi="Calibri" w:cs="Calibri"/>
                <w:sz w:val="20"/>
                <w:szCs w:val="20"/>
              </w:rPr>
            </w:pPr>
            <w:r w:rsidRPr="00B05F03">
              <w:rPr>
                <w:rFonts w:ascii="Calibri" w:hAnsi="Calibri" w:cs="Calibri"/>
                <w:b/>
                <w:bCs/>
                <w:sz w:val="20"/>
                <w:szCs w:val="20"/>
              </w:rPr>
              <w:t>Homologación de remuneraciones (horizontalidad)</w:t>
            </w:r>
          </w:p>
        </w:tc>
        <w:tc>
          <w:tcPr>
            <w:tcW w:w="0" w:type="auto"/>
            <w:hideMark/>
          </w:tcPr>
          <w:p w14:paraId="620DD3BC" w14:textId="77777777" w:rsidR="00B05F03" w:rsidRPr="00B05F03" w:rsidRDefault="00B05F03" w:rsidP="00D81AC7">
            <w:pPr>
              <w:pStyle w:val="Sinespaciado"/>
              <w:jc w:val="both"/>
              <w:rPr>
                <w:rFonts w:ascii="Calibri" w:hAnsi="Calibri" w:cs="Calibri"/>
                <w:sz w:val="20"/>
                <w:szCs w:val="20"/>
              </w:rPr>
            </w:pPr>
            <w:r w:rsidRPr="00B05F03">
              <w:rPr>
                <w:rFonts w:ascii="Calibri" w:hAnsi="Calibri" w:cs="Calibri"/>
                <w:sz w:val="20"/>
                <w:szCs w:val="20"/>
              </w:rPr>
              <w:t>Aspiración a recibir la misma remuneración que un homólogo, basado en el principio "a igual trabajo, igual remuneración".</w:t>
            </w:r>
          </w:p>
        </w:tc>
      </w:tr>
    </w:tbl>
    <w:p w14:paraId="629DCFDC" w14:textId="77777777" w:rsidR="00B05F03" w:rsidRDefault="00B05F03" w:rsidP="00774325">
      <w:pPr>
        <w:pStyle w:val="Sinespaciado"/>
        <w:jc w:val="both"/>
        <w:rPr>
          <w:rFonts w:ascii="Garamond" w:hAnsi="Garamond"/>
          <w:sz w:val="24"/>
          <w:szCs w:val="24"/>
        </w:rPr>
      </w:pPr>
    </w:p>
    <w:p w14:paraId="1F1E3FC4" w14:textId="10C920BB" w:rsidR="00AD6159" w:rsidRPr="00AD6159" w:rsidRDefault="00AD6159" w:rsidP="00774325">
      <w:pPr>
        <w:pStyle w:val="Sinespaciado"/>
        <w:jc w:val="both"/>
        <w:rPr>
          <w:rFonts w:ascii="Garamond" w:hAnsi="Garamond"/>
          <w:b/>
          <w:bCs/>
          <w:sz w:val="24"/>
          <w:szCs w:val="24"/>
        </w:rPr>
      </w:pPr>
      <w:r w:rsidRPr="00AD6159">
        <w:rPr>
          <w:rFonts w:ascii="Garamond" w:hAnsi="Garamond"/>
          <w:b/>
          <w:bCs/>
          <w:sz w:val="24"/>
          <w:szCs w:val="24"/>
        </w:rPr>
        <w:t xml:space="preserve">3. </w:t>
      </w:r>
      <w:r w:rsidR="00843003">
        <w:rPr>
          <w:rFonts w:ascii="Garamond" w:hAnsi="Garamond"/>
          <w:b/>
          <w:bCs/>
          <w:sz w:val="24"/>
          <w:szCs w:val="24"/>
        </w:rPr>
        <w:t>Escala remunerativa</w:t>
      </w:r>
    </w:p>
    <w:p w14:paraId="7F142527" w14:textId="4EABEDB3" w:rsidR="0055266A" w:rsidRPr="00616CF0" w:rsidRDefault="0055266A" w:rsidP="0055266A">
      <w:pPr>
        <w:pStyle w:val="Sinespaciado"/>
        <w:jc w:val="both"/>
        <w:rPr>
          <w:rFonts w:ascii="Garamond" w:hAnsi="Garamond"/>
          <w:sz w:val="24"/>
          <w:szCs w:val="24"/>
        </w:rPr>
      </w:pPr>
      <w:r w:rsidRPr="00616CF0">
        <w:rPr>
          <w:rFonts w:ascii="Garamond" w:hAnsi="Garamond"/>
          <w:sz w:val="24"/>
          <w:szCs w:val="24"/>
        </w:rPr>
        <w:t>Asimismo, la escala remunerativa no se puede confundir con la política remunerativa, la cual es definida en el artículo 2, literal k), del Decreto Supremo 002-2018-TR - Reglamento de la Ley 30709, Ley que prohíbe la discriminación remunerativa entre varones y mujeres – que establece</w:t>
      </w:r>
    </w:p>
    <w:p w14:paraId="607A99D0" w14:textId="77777777" w:rsidR="0055266A" w:rsidRPr="00616CF0" w:rsidRDefault="0055266A" w:rsidP="0055266A">
      <w:pPr>
        <w:pStyle w:val="Sinespaciado"/>
        <w:jc w:val="both"/>
        <w:rPr>
          <w:rFonts w:ascii="Garamond" w:hAnsi="Garamond"/>
          <w:sz w:val="24"/>
          <w:szCs w:val="24"/>
        </w:rPr>
      </w:pPr>
    </w:p>
    <w:p w14:paraId="42E249AC" w14:textId="6F11BBF0" w:rsidR="0055266A" w:rsidRPr="005946BA" w:rsidRDefault="0055266A" w:rsidP="0055266A">
      <w:pPr>
        <w:pStyle w:val="Sinespaciado"/>
        <w:jc w:val="both"/>
        <w:rPr>
          <w:rFonts w:ascii="Garamond" w:hAnsi="Garamond"/>
          <w:i/>
          <w:iCs/>
          <w:sz w:val="24"/>
          <w:szCs w:val="24"/>
        </w:rPr>
      </w:pPr>
      <w:r w:rsidRPr="005946BA">
        <w:rPr>
          <w:rFonts w:ascii="Garamond" w:hAnsi="Garamond"/>
          <w:i/>
          <w:iCs/>
          <w:sz w:val="24"/>
          <w:szCs w:val="24"/>
        </w:rPr>
        <w:t>“</w:t>
      </w:r>
      <w:r w:rsidRPr="005946BA">
        <w:rPr>
          <w:rFonts w:ascii="Garamond" w:hAnsi="Garamond"/>
          <w:b/>
          <w:bCs/>
          <w:i/>
          <w:iCs/>
          <w:sz w:val="24"/>
          <w:szCs w:val="24"/>
        </w:rPr>
        <w:t>Política salarial o remunerativa</w:t>
      </w:r>
      <w:r w:rsidRPr="005946BA">
        <w:rPr>
          <w:rFonts w:ascii="Garamond" w:hAnsi="Garamond"/>
          <w:i/>
          <w:iCs/>
          <w:sz w:val="24"/>
          <w:szCs w:val="24"/>
        </w:rPr>
        <w:t>. Conjunto de criterios y directrices establecidos por el empleador para la gestión, fijación o reajuste de los diferentes esquemas de remuneración de los trabajadores”.</w:t>
      </w:r>
    </w:p>
    <w:p w14:paraId="68D1CADD" w14:textId="77777777" w:rsidR="0055266A" w:rsidRPr="00616CF0" w:rsidRDefault="0055266A" w:rsidP="00774325">
      <w:pPr>
        <w:pStyle w:val="Sinespaciado"/>
        <w:jc w:val="both"/>
        <w:rPr>
          <w:rFonts w:ascii="Garamond" w:hAnsi="Garamond"/>
          <w:sz w:val="24"/>
          <w:szCs w:val="24"/>
        </w:rPr>
      </w:pPr>
    </w:p>
    <w:p w14:paraId="3E1C8C64" w14:textId="01A6070C" w:rsidR="0055266A" w:rsidRPr="00616CF0" w:rsidRDefault="0055266A" w:rsidP="0055266A">
      <w:pPr>
        <w:pStyle w:val="Sinespaciado"/>
        <w:jc w:val="both"/>
        <w:rPr>
          <w:rFonts w:ascii="Garamond" w:hAnsi="Garamond"/>
          <w:sz w:val="24"/>
          <w:szCs w:val="24"/>
        </w:rPr>
      </w:pPr>
      <w:r w:rsidRPr="00616CF0">
        <w:rPr>
          <w:rFonts w:ascii="Garamond" w:hAnsi="Garamond"/>
          <w:sz w:val="24"/>
          <w:szCs w:val="24"/>
        </w:rPr>
        <w:t>Estas políticas remunerativas no deben confundirse con la escala remunerativa</w:t>
      </w:r>
      <w:r w:rsidR="00D5647E">
        <w:rPr>
          <w:rFonts w:ascii="Garamond" w:hAnsi="Garamond"/>
          <w:sz w:val="24"/>
          <w:szCs w:val="24"/>
        </w:rPr>
        <w:t>,</w:t>
      </w:r>
      <w:r w:rsidRPr="00616CF0">
        <w:rPr>
          <w:rFonts w:ascii="Garamond" w:hAnsi="Garamond"/>
          <w:sz w:val="24"/>
          <w:szCs w:val="24"/>
        </w:rPr>
        <w:t xml:space="preserve"> como se verifica de la sumilla de la Casación 2761-2019 Lima que indica</w:t>
      </w:r>
    </w:p>
    <w:p w14:paraId="1D17249D" w14:textId="6311D4C6" w:rsidR="0055266A" w:rsidRPr="00616CF0" w:rsidRDefault="0055266A" w:rsidP="0055266A">
      <w:pPr>
        <w:pStyle w:val="Sinespaciado"/>
        <w:jc w:val="both"/>
        <w:rPr>
          <w:rFonts w:ascii="Garamond" w:hAnsi="Garamond"/>
          <w:sz w:val="24"/>
          <w:szCs w:val="24"/>
        </w:rPr>
      </w:pPr>
      <w:r w:rsidRPr="00616CF0">
        <w:rPr>
          <w:rFonts w:ascii="Garamond" w:hAnsi="Garamond"/>
          <w:sz w:val="24"/>
          <w:szCs w:val="24"/>
        </w:rPr>
        <w:t xml:space="preserve"> </w:t>
      </w:r>
    </w:p>
    <w:p w14:paraId="1BE466A4" w14:textId="77777777" w:rsidR="0055266A" w:rsidRPr="00242640" w:rsidRDefault="0055266A" w:rsidP="0055266A">
      <w:pPr>
        <w:pStyle w:val="Sinespaciado"/>
        <w:jc w:val="both"/>
        <w:rPr>
          <w:rFonts w:ascii="Garamond" w:hAnsi="Garamond"/>
          <w:i/>
          <w:iCs/>
          <w:sz w:val="24"/>
          <w:szCs w:val="24"/>
        </w:rPr>
      </w:pPr>
      <w:r w:rsidRPr="00242640">
        <w:rPr>
          <w:rFonts w:ascii="Garamond" w:hAnsi="Garamond"/>
          <w:i/>
          <w:iCs/>
          <w:sz w:val="24"/>
          <w:szCs w:val="24"/>
        </w:rPr>
        <w:t>“No procede la nivelación de remuneraciones cuando se invoca como fuente de derecho a las normas expedidas por el FONAFE en donde se fijan remuneraciones máximas, en tanto estas no constituyen cuadros de categorías o escalas remunerativas, sino políticas remunerativas para las empresas del Estado”.</w:t>
      </w:r>
    </w:p>
    <w:p w14:paraId="328601F0" w14:textId="24425F9F" w:rsidR="00E37001" w:rsidRPr="00616CF0" w:rsidRDefault="00E37001" w:rsidP="00774325">
      <w:pPr>
        <w:pStyle w:val="Sinespaciado"/>
        <w:jc w:val="both"/>
        <w:rPr>
          <w:rFonts w:ascii="Garamond" w:hAnsi="Garamond"/>
          <w:sz w:val="24"/>
          <w:szCs w:val="24"/>
        </w:rPr>
      </w:pPr>
    </w:p>
    <w:p w14:paraId="1DD0F766" w14:textId="19559C9E" w:rsidR="00C20F9D" w:rsidRPr="00616CF0" w:rsidRDefault="00FF789F" w:rsidP="00774325">
      <w:pPr>
        <w:pStyle w:val="Sinespaciado"/>
        <w:jc w:val="both"/>
        <w:rPr>
          <w:rFonts w:ascii="Garamond" w:hAnsi="Garamond"/>
          <w:sz w:val="24"/>
          <w:szCs w:val="24"/>
        </w:rPr>
      </w:pPr>
      <w:r w:rsidRPr="00525164">
        <w:rPr>
          <w:rFonts w:ascii="Garamond" w:hAnsi="Garamond"/>
          <w:i/>
          <w:iCs/>
          <w:sz w:val="24"/>
          <w:szCs w:val="24"/>
        </w:rPr>
        <w:t>In genere</w:t>
      </w:r>
      <w:r w:rsidRPr="00616CF0">
        <w:rPr>
          <w:rFonts w:ascii="Garamond" w:hAnsi="Garamond"/>
          <w:sz w:val="24"/>
          <w:szCs w:val="24"/>
        </w:rPr>
        <w:t xml:space="preserve">, una política remunerativa establece criterios y directrices para fijar las remuneraciones, sin embargo, no establece remuneraciones; por su parte, las </w:t>
      </w:r>
      <w:r w:rsidRPr="00061BAE">
        <w:rPr>
          <w:rFonts w:ascii="Garamond" w:hAnsi="Garamond"/>
          <w:b/>
          <w:bCs/>
          <w:sz w:val="24"/>
          <w:szCs w:val="24"/>
        </w:rPr>
        <w:t>escalas remunerativas</w:t>
      </w:r>
      <w:r w:rsidRPr="00616CF0">
        <w:rPr>
          <w:rFonts w:ascii="Garamond" w:hAnsi="Garamond"/>
          <w:sz w:val="24"/>
          <w:szCs w:val="24"/>
        </w:rPr>
        <w:t xml:space="preserve">, en el sector público, </w:t>
      </w:r>
      <w:r w:rsidR="00361A00">
        <w:rPr>
          <w:rFonts w:ascii="Garamond" w:hAnsi="Garamond"/>
          <w:sz w:val="24"/>
          <w:szCs w:val="24"/>
        </w:rPr>
        <w:t>son normas administrativas generales</w:t>
      </w:r>
      <w:r w:rsidRPr="00616CF0">
        <w:rPr>
          <w:rFonts w:ascii="Garamond" w:hAnsi="Garamond"/>
          <w:sz w:val="24"/>
          <w:szCs w:val="24"/>
        </w:rPr>
        <w:t xml:space="preserve"> que a través de parámetros objetivos establece</w:t>
      </w:r>
      <w:r w:rsidR="00361A00">
        <w:rPr>
          <w:rFonts w:ascii="Garamond" w:hAnsi="Garamond"/>
          <w:sz w:val="24"/>
          <w:szCs w:val="24"/>
        </w:rPr>
        <w:t>n</w:t>
      </w:r>
      <w:r w:rsidRPr="00616CF0">
        <w:rPr>
          <w:rFonts w:ascii="Garamond" w:hAnsi="Garamond"/>
          <w:sz w:val="24"/>
          <w:szCs w:val="24"/>
        </w:rPr>
        <w:t xml:space="preserve"> las remuneraciones que corresponden a los cargos públicos que conforme a categorías se encuentran en las entidades públicas, siendo que se puede establecer un mínimo y máximo remunerativo</w:t>
      </w:r>
      <w:r w:rsidR="00BA318B" w:rsidRPr="00616CF0">
        <w:rPr>
          <w:rFonts w:ascii="Garamond" w:hAnsi="Garamond"/>
          <w:sz w:val="24"/>
          <w:szCs w:val="24"/>
        </w:rPr>
        <w:t>.</w:t>
      </w:r>
      <w:r w:rsidR="004C7C2E">
        <w:rPr>
          <w:rFonts w:ascii="Garamond" w:hAnsi="Garamond"/>
          <w:sz w:val="24"/>
          <w:szCs w:val="24"/>
        </w:rPr>
        <w:t xml:space="preserve"> </w:t>
      </w:r>
      <w:r w:rsidR="00EC7F3C" w:rsidRPr="00EC7F3C">
        <w:rPr>
          <w:rFonts w:ascii="Garamond" w:hAnsi="Garamond"/>
          <w:i/>
          <w:iCs/>
          <w:sz w:val="24"/>
          <w:szCs w:val="24"/>
        </w:rPr>
        <w:t>Ergo</w:t>
      </w:r>
      <w:r w:rsidR="004C7C2E">
        <w:rPr>
          <w:rFonts w:ascii="Garamond" w:hAnsi="Garamond"/>
          <w:sz w:val="24"/>
          <w:szCs w:val="24"/>
        </w:rPr>
        <w:t>, el sustento de la escala remunerativa es que la entidad pública como empleadora</w:t>
      </w:r>
      <w:r w:rsidR="00EC2D35">
        <w:rPr>
          <w:rFonts w:ascii="Garamond" w:hAnsi="Garamond"/>
          <w:sz w:val="24"/>
          <w:szCs w:val="24"/>
        </w:rPr>
        <w:t xml:space="preserve">, especifique las remuneraciones que percibirán sus servidores públicos, </w:t>
      </w:r>
      <w:proofErr w:type="spellStart"/>
      <w:r w:rsidR="000606F2" w:rsidRPr="00616CF0">
        <w:rPr>
          <w:rFonts w:ascii="Garamond" w:hAnsi="Garamond"/>
          <w:sz w:val="24"/>
          <w:szCs w:val="24"/>
        </w:rPr>
        <w:t>Sh</w:t>
      </w:r>
      <w:proofErr w:type="spellEnd"/>
      <w:r w:rsidR="000606F2" w:rsidRPr="00616CF0">
        <w:rPr>
          <w:rFonts w:ascii="Garamond" w:hAnsi="Garamond"/>
          <w:sz w:val="24"/>
          <w:szCs w:val="24"/>
        </w:rPr>
        <w:t xml:space="preserve">. </w:t>
      </w:r>
      <w:proofErr w:type="spellStart"/>
      <w:r w:rsidR="000606F2" w:rsidRPr="00616CF0">
        <w:rPr>
          <w:rFonts w:ascii="Garamond" w:hAnsi="Garamond"/>
          <w:sz w:val="24"/>
          <w:szCs w:val="24"/>
        </w:rPr>
        <w:t>Abdool</w:t>
      </w:r>
      <w:proofErr w:type="spellEnd"/>
      <w:r w:rsidR="000606F2" w:rsidRPr="00616CF0">
        <w:rPr>
          <w:rFonts w:ascii="Garamond" w:hAnsi="Garamond"/>
          <w:sz w:val="24"/>
          <w:szCs w:val="24"/>
        </w:rPr>
        <w:t xml:space="preserve"> Rahman Khan </w:t>
      </w:r>
      <w:r w:rsidR="00CC5558" w:rsidRPr="00616CF0">
        <w:rPr>
          <w:rFonts w:ascii="Garamond" w:hAnsi="Garamond"/>
          <w:sz w:val="24"/>
          <w:szCs w:val="24"/>
        </w:rPr>
        <w:t xml:space="preserve">en su artículo Social </w:t>
      </w:r>
      <w:proofErr w:type="spellStart"/>
      <w:r w:rsidR="00CC5558" w:rsidRPr="00616CF0">
        <w:rPr>
          <w:rFonts w:ascii="Garamond" w:hAnsi="Garamond"/>
          <w:sz w:val="24"/>
          <w:szCs w:val="24"/>
        </w:rPr>
        <w:t>Justice</w:t>
      </w:r>
      <w:proofErr w:type="spellEnd"/>
      <w:r w:rsidR="00CC5558" w:rsidRPr="00616CF0">
        <w:rPr>
          <w:rFonts w:ascii="Garamond" w:hAnsi="Garamond"/>
          <w:sz w:val="24"/>
          <w:szCs w:val="24"/>
        </w:rPr>
        <w:t xml:space="preserve">: Labor </w:t>
      </w:r>
      <w:proofErr w:type="spellStart"/>
      <w:r w:rsidR="00CC5558" w:rsidRPr="00616CF0">
        <w:rPr>
          <w:rFonts w:ascii="Garamond" w:hAnsi="Garamond"/>
          <w:sz w:val="24"/>
          <w:szCs w:val="24"/>
        </w:rPr>
        <w:t>Rights</w:t>
      </w:r>
      <w:proofErr w:type="spellEnd"/>
      <w:r w:rsidR="00CC5558" w:rsidRPr="00616CF0">
        <w:rPr>
          <w:rFonts w:ascii="Garamond" w:hAnsi="Garamond"/>
          <w:sz w:val="24"/>
          <w:szCs w:val="24"/>
        </w:rPr>
        <w:t xml:space="preserve"> in Islam </w:t>
      </w:r>
      <w:r w:rsidR="00BF4FB0" w:rsidRPr="00616CF0">
        <w:rPr>
          <w:rFonts w:ascii="Garamond" w:hAnsi="Garamond"/>
          <w:sz w:val="24"/>
          <w:szCs w:val="24"/>
        </w:rPr>
        <w:t xml:space="preserve">indica </w:t>
      </w:r>
      <w:r w:rsidR="00BF4FB0" w:rsidRPr="00EC7F3C">
        <w:rPr>
          <w:rFonts w:ascii="Garamond" w:hAnsi="Garamond"/>
          <w:i/>
          <w:iCs/>
          <w:sz w:val="24"/>
          <w:szCs w:val="24"/>
        </w:rPr>
        <w:t>“</w:t>
      </w:r>
      <w:r w:rsidR="00C20F9D" w:rsidRPr="00EC7F3C">
        <w:rPr>
          <w:rFonts w:ascii="Garamond" w:hAnsi="Garamond"/>
          <w:i/>
          <w:iCs/>
          <w:sz w:val="24"/>
          <w:szCs w:val="24"/>
        </w:rPr>
        <w:t xml:space="preserve">Abu </w:t>
      </w:r>
      <w:proofErr w:type="spellStart"/>
      <w:proofErr w:type="gramStart"/>
      <w:r w:rsidR="00C20F9D" w:rsidRPr="00EC7F3C">
        <w:rPr>
          <w:rFonts w:ascii="Garamond" w:hAnsi="Garamond"/>
          <w:i/>
          <w:iCs/>
          <w:sz w:val="24"/>
          <w:szCs w:val="24"/>
        </w:rPr>
        <w:t>Sa‘</w:t>
      </w:r>
      <w:proofErr w:type="gramEnd"/>
      <w:r w:rsidR="00C20F9D" w:rsidRPr="00EC7F3C">
        <w:rPr>
          <w:rFonts w:ascii="Garamond" w:hAnsi="Garamond"/>
          <w:i/>
          <w:iCs/>
          <w:sz w:val="24"/>
          <w:szCs w:val="24"/>
        </w:rPr>
        <w:t>id</w:t>
      </w:r>
      <w:proofErr w:type="spellEnd"/>
      <w:r w:rsidR="00C20F9D" w:rsidRPr="00EC7F3C">
        <w:rPr>
          <w:rFonts w:ascii="Garamond" w:hAnsi="Garamond"/>
          <w:i/>
          <w:iCs/>
          <w:sz w:val="24"/>
          <w:szCs w:val="24"/>
        </w:rPr>
        <w:t xml:space="preserve"> Al-</w:t>
      </w:r>
      <w:proofErr w:type="spellStart"/>
      <w:r w:rsidR="00C20F9D" w:rsidRPr="00EC7F3C">
        <w:rPr>
          <w:rFonts w:ascii="Garamond" w:hAnsi="Garamond"/>
          <w:i/>
          <w:iCs/>
          <w:sz w:val="24"/>
          <w:szCs w:val="24"/>
        </w:rPr>
        <w:t>Judri</w:t>
      </w:r>
      <w:proofErr w:type="spellEnd"/>
      <w:r w:rsidR="00C20F9D" w:rsidRPr="00EC7F3C">
        <w:rPr>
          <w:rFonts w:ascii="Garamond" w:hAnsi="Garamond"/>
          <w:i/>
          <w:iCs/>
          <w:sz w:val="24"/>
          <w:szCs w:val="24"/>
        </w:rPr>
        <w:t xml:space="preserve"> narró que el Profeta (BP) dijo: “Quien emplee a alguien para que trabaje para él, debe especificarle su salario por adelantado”. [‘</w:t>
      </w:r>
      <w:proofErr w:type="spellStart"/>
      <w:r w:rsidR="00C20F9D" w:rsidRPr="00EC7F3C">
        <w:rPr>
          <w:rFonts w:ascii="Garamond" w:hAnsi="Garamond"/>
          <w:i/>
          <w:iCs/>
          <w:sz w:val="24"/>
          <w:szCs w:val="24"/>
        </w:rPr>
        <w:t>Abdur-Razzaaq</w:t>
      </w:r>
      <w:proofErr w:type="spellEnd"/>
      <w:r w:rsidR="00C20F9D" w:rsidRPr="00EC7F3C">
        <w:rPr>
          <w:rFonts w:ascii="Garamond" w:hAnsi="Garamond"/>
          <w:i/>
          <w:iCs/>
          <w:sz w:val="24"/>
          <w:szCs w:val="24"/>
        </w:rPr>
        <w:t>]</w:t>
      </w:r>
      <w:r w:rsidR="00BF4FB0" w:rsidRPr="00EC7F3C">
        <w:rPr>
          <w:rFonts w:ascii="Garamond" w:hAnsi="Garamond"/>
          <w:i/>
          <w:iCs/>
          <w:sz w:val="24"/>
          <w:szCs w:val="24"/>
        </w:rPr>
        <w:t>”</w:t>
      </w:r>
    </w:p>
    <w:p w14:paraId="4130BB78" w14:textId="77777777" w:rsidR="00C20F9D" w:rsidRPr="00616CF0" w:rsidRDefault="00C20F9D" w:rsidP="00774325">
      <w:pPr>
        <w:pStyle w:val="Sinespaciado"/>
        <w:jc w:val="both"/>
        <w:rPr>
          <w:rFonts w:ascii="Garamond" w:hAnsi="Garamond"/>
          <w:sz w:val="24"/>
          <w:szCs w:val="24"/>
        </w:rPr>
      </w:pPr>
    </w:p>
    <w:p w14:paraId="2BAF3DAF" w14:textId="72593034" w:rsidR="00BA318B" w:rsidRPr="00616CF0" w:rsidRDefault="003F2420" w:rsidP="00BA318B">
      <w:pPr>
        <w:pStyle w:val="Sinespaciado"/>
        <w:jc w:val="both"/>
        <w:rPr>
          <w:rFonts w:ascii="Garamond" w:hAnsi="Garamond"/>
          <w:sz w:val="24"/>
          <w:szCs w:val="24"/>
        </w:rPr>
      </w:pPr>
      <w:r w:rsidRPr="00616CF0">
        <w:rPr>
          <w:rFonts w:ascii="Garamond" w:hAnsi="Garamond"/>
          <w:sz w:val="24"/>
          <w:szCs w:val="24"/>
        </w:rPr>
        <w:t>De esta manera, las escalas remunerativas derivan de la facultad del empleador estatal para clasificar por categorías a los servidores públicos estableciendo sus remuneraciones a través de criterios objetivos</w:t>
      </w:r>
      <w:r w:rsidR="00DC0289">
        <w:rPr>
          <w:rFonts w:ascii="Garamond" w:hAnsi="Garamond"/>
          <w:sz w:val="24"/>
          <w:szCs w:val="24"/>
        </w:rPr>
        <w:t>, sustentados en la capacidad, experiencia y f</w:t>
      </w:r>
      <w:r w:rsidR="00FA43C6">
        <w:rPr>
          <w:rFonts w:ascii="Garamond" w:hAnsi="Garamond"/>
          <w:sz w:val="24"/>
          <w:szCs w:val="24"/>
        </w:rPr>
        <w:t>ormación que se requiere para ostentar un determinado cargo público</w:t>
      </w:r>
      <w:r w:rsidRPr="00616CF0">
        <w:rPr>
          <w:rFonts w:ascii="Garamond" w:hAnsi="Garamond"/>
          <w:sz w:val="24"/>
          <w:szCs w:val="24"/>
        </w:rPr>
        <w:t xml:space="preserve">. </w:t>
      </w:r>
      <w:r w:rsidR="00BA318B" w:rsidRPr="00616CF0">
        <w:rPr>
          <w:rFonts w:ascii="Garamond" w:hAnsi="Garamond"/>
          <w:sz w:val="24"/>
          <w:szCs w:val="24"/>
        </w:rPr>
        <w:t xml:space="preserve">En el considerando novena, numeral 4) de la Casación 2761-2019 Lima se indica </w:t>
      </w:r>
    </w:p>
    <w:p w14:paraId="7CDE2495" w14:textId="77777777" w:rsidR="00BA318B" w:rsidRDefault="00BA318B" w:rsidP="00BA318B">
      <w:pPr>
        <w:pStyle w:val="Sinespaciado"/>
        <w:jc w:val="both"/>
        <w:rPr>
          <w:rFonts w:ascii="Garamond" w:hAnsi="Garamond"/>
          <w:sz w:val="24"/>
          <w:szCs w:val="24"/>
        </w:rPr>
      </w:pPr>
    </w:p>
    <w:p w14:paraId="799A963F" w14:textId="3A82F755" w:rsidR="006233A8" w:rsidRPr="006233A8" w:rsidRDefault="006233A8" w:rsidP="006233A8">
      <w:pPr>
        <w:tabs>
          <w:tab w:val="left" w:pos="5484"/>
        </w:tabs>
      </w:pPr>
      <w:r>
        <w:tab/>
      </w:r>
    </w:p>
    <w:p w14:paraId="712E694D" w14:textId="77777777" w:rsidR="00BA318B" w:rsidRPr="00E833DE" w:rsidRDefault="00BA318B" w:rsidP="00BA318B">
      <w:pPr>
        <w:pStyle w:val="Sinespaciado"/>
        <w:jc w:val="both"/>
        <w:rPr>
          <w:rFonts w:ascii="Garamond" w:hAnsi="Garamond"/>
          <w:i/>
          <w:iCs/>
          <w:sz w:val="24"/>
          <w:szCs w:val="24"/>
        </w:rPr>
      </w:pPr>
      <w:r w:rsidRPr="00E833DE">
        <w:rPr>
          <w:rFonts w:ascii="Garamond" w:hAnsi="Garamond"/>
          <w:i/>
          <w:iCs/>
          <w:sz w:val="24"/>
          <w:szCs w:val="24"/>
        </w:rPr>
        <w:lastRenderedPageBreak/>
        <w:t>“Asimismo, con carácter ilustrativo debe mencionarse que los cuadros de categorías o escalas remunerativas resultan ser la consecuencia de la facultad del empleador de clasificar ocupacionalmente a sus trabajadores de acuerdo a los parámetros objetivos que se presenten (funciones, responsabilidades, nivel profesional, experiencia, entre otros)”.</w:t>
      </w:r>
    </w:p>
    <w:p w14:paraId="10499945" w14:textId="77777777" w:rsidR="00BA318B" w:rsidRPr="00616CF0" w:rsidRDefault="00BA318B" w:rsidP="00774325">
      <w:pPr>
        <w:pStyle w:val="Sinespaciado"/>
        <w:jc w:val="both"/>
        <w:rPr>
          <w:rFonts w:ascii="Garamond" w:hAnsi="Garamond"/>
          <w:sz w:val="24"/>
          <w:szCs w:val="24"/>
        </w:rPr>
      </w:pPr>
    </w:p>
    <w:p w14:paraId="1A84616F" w14:textId="7DC9DC38" w:rsidR="009C5514" w:rsidRPr="00616CF0" w:rsidRDefault="003F2420" w:rsidP="00774325">
      <w:pPr>
        <w:pStyle w:val="Sinespaciado"/>
        <w:jc w:val="both"/>
        <w:rPr>
          <w:rFonts w:ascii="Garamond" w:hAnsi="Garamond"/>
          <w:sz w:val="24"/>
          <w:szCs w:val="24"/>
        </w:rPr>
      </w:pPr>
      <w:r w:rsidRPr="00616CF0">
        <w:rPr>
          <w:rFonts w:ascii="Garamond" w:hAnsi="Garamond"/>
          <w:sz w:val="24"/>
          <w:szCs w:val="24"/>
        </w:rPr>
        <w:t xml:space="preserve">A partir de lo indicado, </w:t>
      </w:r>
      <w:r w:rsidR="00BB5E85">
        <w:rPr>
          <w:rFonts w:ascii="Garamond" w:hAnsi="Garamond"/>
          <w:sz w:val="24"/>
          <w:szCs w:val="24"/>
        </w:rPr>
        <w:t>establecemos</w:t>
      </w:r>
      <w:r w:rsidR="00A81302">
        <w:rPr>
          <w:rFonts w:ascii="Garamond" w:hAnsi="Garamond"/>
          <w:sz w:val="24"/>
          <w:szCs w:val="24"/>
        </w:rPr>
        <w:t xml:space="preserve"> problemas </w:t>
      </w:r>
      <w:r w:rsidR="003968DE">
        <w:rPr>
          <w:rFonts w:ascii="Garamond" w:hAnsi="Garamond"/>
          <w:sz w:val="24"/>
          <w:szCs w:val="24"/>
        </w:rPr>
        <w:t xml:space="preserve">reiterados que </w:t>
      </w:r>
      <w:r w:rsidRPr="00616CF0">
        <w:rPr>
          <w:rFonts w:ascii="Garamond" w:hAnsi="Garamond"/>
          <w:sz w:val="24"/>
          <w:szCs w:val="24"/>
        </w:rPr>
        <w:t>se derivan de la nivelación de remuneraciones conforme a las escalas remunerativas aprobadas por las entidades públicas</w:t>
      </w:r>
      <w:r w:rsidR="003968DE">
        <w:rPr>
          <w:rFonts w:ascii="Garamond" w:hAnsi="Garamond"/>
          <w:sz w:val="24"/>
          <w:szCs w:val="24"/>
        </w:rPr>
        <w:t>.</w:t>
      </w:r>
    </w:p>
    <w:p w14:paraId="0A784392" w14:textId="77777777" w:rsidR="00816B62" w:rsidRDefault="00816B62" w:rsidP="00774325">
      <w:pPr>
        <w:pStyle w:val="Sinespaciado"/>
        <w:jc w:val="both"/>
        <w:rPr>
          <w:rFonts w:ascii="Garamond" w:hAnsi="Garamond"/>
          <w:sz w:val="24"/>
          <w:szCs w:val="24"/>
        </w:rPr>
      </w:pPr>
    </w:p>
    <w:p w14:paraId="1D58C3B0" w14:textId="1A38DEDF" w:rsidR="005E6EF3" w:rsidRPr="00F41B2D" w:rsidRDefault="005E6EF3" w:rsidP="00774325">
      <w:pPr>
        <w:pStyle w:val="Sinespaciado"/>
        <w:jc w:val="both"/>
        <w:rPr>
          <w:rFonts w:ascii="Garamond" w:hAnsi="Garamond"/>
          <w:b/>
          <w:bCs/>
          <w:sz w:val="24"/>
          <w:szCs w:val="24"/>
        </w:rPr>
      </w:pPr>
      <w:r w:rsidRPr="00F41B2D">
        <w:rPr>
          <w:rFonts w:ascii="Garamond" w:hAnsi="Garamond"/>
          <w:b/>
          <w:bCs/>
          <w:sz w:val="24"/>
          <w:szCs w:val="24"/>
        </w:rPr>
        <w:t xml:space="preserve">4. </w:t>
      </w:r>
      <w:r w:rsidR="009610CA">
        <w:rPr>
          <w:rFonts w:ascii="Garamond" w:hAnsi="Garamond"/>
          <w:b/>
          <w:bCs/>
          <w:sz w:val="24"/>
          <w:szCs w:val="24"/>
        </w:rPr>
        <w:t>Vigencia</w:t>
      </w:r>
      <w:r w:rsidR="00F41B2D" w:rsidRPr="00F41B2D">
        <w:rPr>
          <w:rFonts w:ascii="Garamond" w:hAnsi="Garamond"/>
          <w:b/>
          <w:bCs/>
          <w:sz w:val="24"/>
          <w:szCs w:val="24"/>
        </w:rPr>
        <w:t xml:space="preserve"> de la escala remunerativa</w:t>
      </w:r>
    </w:p>
    <w:p w14:paraId="7562B8E3" w14:textId="4AC93EB8" w:rsidR="00C1791F" w:rsidRPr="00616CF0" w:rsidRDefault="00816B62" w:rsidP="00774325">
      <w:pPr>
        <w:pStyle w:val="Sinespaciado"/>
        <w:jc w:val="both"/>
        <w:rPr>
          <w:rFonts w:ascii="Garamond" w:hAnsi="Garamond"/>
          <w:sz w:val="24"/>
          <w:szCs w:val="24"/>
        </w:rPr>
      </w:pPr>
      <w:r w:rsidRPr="00616CF0">
        <w:rPr>
          <w:rFonts w:ascii="Garamond" w:hAnsi="Garamond"/>
          <w:sz w:val="24"/>
          <w:szCs w:val="24"/>
        </w:rPr>
        <w:t>La aplicación temporal de la escala remunerativa a los servidores públicos nos remite a la pregunta temporal ¿a qui</w:t>
      </w:r>
      <w:r w:rsidR="00CA5E3F">
        <w:rPr>
          <w:rFonts w:ascii="Garamond" w:hAnsi="Garamond"/>
          <w:sz w:val="24"/>
          <w:szCs w:val="24"/>
        </w:rPr>
        <w:t>é</w:t>
      </w:r>
      <w:r w:rsidRPr="00616CF0">
        <w:rPr>
          <w:rFonts w:ascii="Garamond" w:hAnsi="Garamond"/>
          <w:sz w:val="24"/>
          <w:szCs w:val="24"/>
        </w:rPr>
        <w:t xml:space="preserve">nes se aplica la escala remunerativa?, </w:t>
      </w:r>
      <w:r w:rsidRPr="00E8055D">
        <w:rPr>
          <w:rFonts w:ascii="Garamond" w:hAnsi="Garamond"/>
          <w:i/>
          <w:iCs/>
          <w:sz w:val="24"/>
          <w:szCs w:val="24"/>
        </w:rPr>
        <w:t>ergo</w:t>
      </w:r>
      <w:r w:rsidRPr="00616CF0">
        <w:rPr>
          <w:rFonts w:ascii="Garamond" w:hAnsi="Garamond"/>
          <w:sz w:val="24"/>
          <w:szCs w:val="24"/>
        </w:rPr>
        <w:t xml:space="preserve">, emitida la resolución que aprueba la escala remunerativa, </w:t>
      </w:r>
      <w:r w:rsidR="00CA5E3F">
        <w:rPr>
          <w:rFonts w:ascii="Garamond" w:hAnsi="Garamond"/>
          <w:sz w:val="24"/>
          <w:szCs w:val="24"/>
        </w:rPr>
        <w:t>e</w:t>
      </w:r>
      <w:r w:rsidRPr="00616CF0">
        <w:rPr>
          <w:rFonts w:ascii="Garamond" w:hAnsi="Garamond"/>
          <w:sz w:val="24"/>
          <w:szCs w:val="24"/>
        </w:rPr>
        <w:t>sta entrará en vigencia a partir de</w:t>
      </w:r>
      <w:r w:rsidR="00E8055D">
        <w:rPr>
          <w:rFonts w:ascii="Garamond" w:hAnsi="Garamond"/>
          <w:sz w:val="24"/>
          <w:szCs w:val="24"/>
        </w:rPr>
        <w:t>l día siguiente de</w:t>
      </w:r>
      <w:r w:rsidRPr="00616CF0">
        <w:rPr>
          <w:rFonts w:ascii="Garamond" w:hAnsi="Garamond"/>
          <w:sz w:val="24"/>
          <w:szCs w:val="24"/>
        </w:rPr>
        <w:t xml:space="preserve"> su publicación, </w:t>
      </w:r>
      <w:r w:rsidR="00E8055D">
        <w:rPr>
          <w:rFonts w:ascii="Garamond" w:hAnsi="Garamond"/>
          <w:sz w:val="24"/>
          <w:szCs w:val="24"/>
        </w:rPr>
        <w:t>de esta manera</w:t>
      </w:r>
      <w:r w:rsidRPr="00616CF0">
        <w:rPr>
          <w:rFonts w:ascii="Garamond" w:hAnsi="Garamond"/>
          <w:sz w:val="24"/>
          <w:szCs w:val="24"/>
        </w:rPr>
        <w:t xml:space="preserve">, la escala remunerativa se aplicará a los trabajadores que tengan vínculo laboral vigente al momento </w:t>
      </w:r>
      <w:r w:rsidR="00505BE5">
        <w:rPr>
          <w:rFonts w:ascii="Garamond" w:hAnsi="Garamond"/>
          <w:sz w:val="24"/>
          <w:szCs w:val="24"/>
        </w:rPr>
        <w:t xml:space="preserve">de </w:t>
      </w:r>
      <w:r w:rsidRPr="00616CF0">
        <w:rPr>
          <w:rFonts w:ascii="Garamond" w:hAnsi="Garamond"/>
          <w:sz w:val="24"/>
          <w:szCs w:val="24"/>
        </w:rPr>
        <w:t xml:space="preserve">su </w:t>
      </w:r>
      <w:r w:rsidR="00505BE5">
        <w:rPr>
          <w:rFonts w:ascii="Garamond" w:hAnsi="Garamond"/>
          <w:sz w:val="24"/>
          <w:szCs w:val="24"/>
        </w:rPr>
        <w:t>entrada en vigencia</w:t>
      </w:r>
      <w:r w:rsidRPr="00616CF0">
        <w:rPr>
          <w:rFonts w:ascii="Garamond" w:hAnsi="Garamond"/>
          <w:sz w:val="24"/>
          <w:szCs w:val="24"/>
        </w:rPr>
        <w:t xml:space="preserve">, </w:t>
      </w:r>
      <w:r w:rsidR="00505BE5">
        <w:rPr>
          <w:rFonts w:ascii="Garamond" w:hAnsi="Garamond"/>
          <w:sz w:val="24"/>
          <w:szCs w:val="24"/>
        </w:rPr>
        <w:t>también</w:t>
      </w:r>
      <w:r w:rsidRPr="00616CF0">
        <w:rPr>
          <w:rFonts w:ascii="Garamond" w:hAnsi="Garamond"/>
          <w:sz w:val="24"/>
          <w:szCs w:val="24"/>
        </w:rPr>
        <w:t xml:space="preserve"> se aplicará a los trabajadores que ingresen a prestar servicios luego de la entrada en vigencia de la escala remunerativa</w:t>
      </w:r>
      <w:r w:rsidR="00F74301">
        <w:rPr>
          <w:rFonts w:ascii="Garamond" w:hAnsi="Garamond"/>
          <w:sz w:val="24"/>
          <w:szCs w:val="24"/>
        </w:rPr>
        <w:t>. Lo indicado</w:t>
      </w:r>
      <w:r w:rsidR="00F83367" w:rsidRPr="00616CF0">
        <w:rPr>
          <w:rFonts w:ascii="Garamond" w:hAnsi="Garamond"/>
          <w:sz w:val="24"/>
          <w:szCs w:val="24"/>
        </w:rPr>
        <w:t xml:space="preserve"> imposibilita que</w:t>
      </w:r>
      <w:r w:rsidR="00A337E2">
        <w:rPr>
          <w:rFonts w:ascii="Garamond" w:hAnsi="Garamond"/>
          <w:sz w:val="24"/>
          <w:szCs w:val="24"/>
        </w:rPr>
        <w:t>,</w:t>
      </w:r>
      <w:r w:rsidR="00F83367" w:rsidRPr="00616CF0">
        <w:rPr>
          <w:rFonts w:ascii="Garamond" w:hAnsi="Garamond"/>
          <w:sz w:val="24"/>
          <w:szCs w:val="24"/>
        </w:rPr>
        <w:t xml:space="preserve"> terminado </w:t>
      </w:r>
      <w:r w:rsidR="000F6D4A">
        <w:rPr>
          <w:rFonts w:ascii="Garamond" w:hAnsi="Garamond"/>
          <w:sz w:val="24"/>
          <w:szCs w:val="24"/>
        </w:rPr>
        <w:t>el</w:t>
      </w:r>
      <w:r w:rsidR="00F83367" w:rsidRPr="00616CF0">
        <w:rPr>
          <w:rFonts w:ascii="Garamond" w:hAnsi="Garamond"/>
          <w:sz w:val="24"/>
          <w:szCs w:val="24"/>
        </w:rPr>
        <w:t xml:space="preserve"> vínculo laboral </w:t>
      </w:r>
      <w:r w:rsidR="000F6D4A">
        <w:rPr>
          <w:rFonts w:ascii="Garamond" w:hAnsi="Garamond"/>
          <w:sz w:val="24"/>
          <w:szCs w:val="24"/>
        </w:rPr>
        <w:t xml:space="preserve">del servidor público, </w:t>
      </w:r>
      <w:r w:rsidR="00F83367" w:rsidRPr="00616CF0">
        <w:rPr>
          <w:rFonts w:ascii="Garamond" w:hAnsi="Garamond"/>
          <w:sz w:val="24"/>
          <w:szCs w:val="24"/>
        </w:rPr>
        <w:t xml:space="preserve">antes de la entrada en vigencia de la escala remunerativa, </w:t>
      </w:r>
      <w:r w:rsidR="00376D46">
        <w:rPr>
          <w:rFonts w:ascii="Garamond" w:hAnsi="Garamond"/>
          <w:sz w:val="24"/>
          <w:szCs w:val="24"/>
        </w:rPr>
        <w:t>el</w:t>
      </w:r>
      <w:r w:rsidR="00F83367" w:rsidRPr="00616CF0">
        <w:rPr>
          <w:rFonts w:ascii="Garamond" w:hAnsi="Garamond"/>
          <w:sz w:val="24"/>
          <w:szCs w:val="24"/>
        </w:rPr>
        <w:t xml:space="preserve"> </w:t>
      </w:r>
      <w:r w:rsidR="00376D46">
        <w:rPr>
          <w:rFonts w:ascii="Garamond" w:hAnsi="Garamond"/>
          <w:sz w:val="24"/>
          <w:szCs w:val="24"/>
        </w:rPr>
        <w:t>exservidor</w:t>
      </w:r>
      <w:r w:rsidR="00F83367" w:rsidRPr="00616CF0">
        <w:rPr>
          <w:rFonts w:ascii="Garamond" w:hAnsi="Garamond"/>
          <w:sz w:val="24"/>
          <w:szCs w:val="24"/>
        </w:rPr>
        <w:t xml:space="preserve"> pueda solicitar el pago de reintegros de remuneraciones por diferencia de remuneraciones.</w:t>
      </w:r>
    </w:p>
    <w:p w14:paraId="698BBF69" w14:textId="77777777" w:rsidR="00C1791F" w:rsidRDefault="00C1791F" w:rsidP="00774325">
      <w:pPr>
        <w:pStyle w:val="Sinespaciado"/>
        <w:jc w:val="both"/>
        <w:rPr>
          <w:rFonts w:ascii="Garamond" w:hAnsi="Garamond"/>
          <w:sz w:val="24"/>
          <w:szCs w:val="24"/>
        </w:rPr>
      </w:pPr>
    </w:p>
    <w:p w14:paraId="124A95BE" w14:textId="413F6451" w:rsidR="0088004A" w:rsidRPr="0088004A" w:rsidRDefault="0088004A" w:rsidP="00774325">
      <w:pPr>
        <w:pStyle w:val="Sinespaciado"/>
        <w:jc w:val="both"/>
        <w:rPr>
          <w:rFonts w:ascii="Garamond" w:hAnsi="Garamond"/>
          <w:b/>
          <w:bCs/>
          <w:sz w:val="24"/>
          <w:szCs w:val="24"/>
        </w:rPr>
      </w:pPr>
      <w:r w:rsidRPr="0088004A">
        <w:rPr>
          <w:rFonts w:ascii="Garamond" w:hAnsi="Garamond"/>
          <w:b/>
          <w:bCs/>
          <w:sz w:val="24"/>
          <w:szCs w:val="24"/>
        </w:rPr>
        <w:t>5. Aplicación de la escala remunerativa</w:t>
      </w:r>
    </w:p>
    <w:p w14:paraId="1D9DEF6E" w14:textId="23459C48" w:rsidR="00C1791F" w:rsidRPr="00616CF0" w:rsidRDefault="00C1791F" w:rsidP="00774325">
      <w:pPr>
        <w:pStyle w:val="Sinespaciado"/>
        <w:jc w:val="both"/>
        <w:rPr>
          <w:rFonts w:ascii="Garamond" w:hAnsi="Garamond"/>
          <w:sz w:val="24"/>
          <w:szCs w:val="24"/>
        </w:rPr>
      </w:pPr>
      <w:r w:rsidRPr="00616CF0">
        <w:rPr>
          <w:rFonts w:ascii="Garamond" w:hAnsi="Garamond"/>
          <w:sz w:val="24"/>
          <w:szCs w:val="24"/>
        </w:rPr>
        <w:t xml:space="preserve">Explicada la aplicación temporal, se precisa establecer los supuestos de aplicación </w:t>
      </w:r>
      <w:r w:rsidR="0054478C">
        <w:rPr>
          <w:rFonts w:ascii="Garamond" w:hAnsi="Garamond"/>
          <w:sz w:val="24"/>
          <w:szCs w:val="24"/>
        </w:rPr>
        <w:t xml:space="preserve">cuantitativa </w:t>
      </w:r>
      <w:r w:rsidRPr="00616CF0">
        <w:rPr>
          <w:rFonts w:ascii="Garamond" w:hAnsi="Garamond"/>
          <w:sz w:val="24"/>
          <w:szCs w:val="24"/>
        </w:rPr>
        <w:t>a los servidores públicos:</w:t>
      </w:r>
    </w:p>
    <w:p w14:paraId="77FC93A3" w14:textId="77777777" w:rsidR="00C1791F" w:rsidRPr="00616CF0" w:rsidRDefault="00C1791F" w:rsidP="00774325">
      <w:pPr>
        <w:pStyle w:val="Sinespaciado"/>
        <w:jc w:val="both"/>
        <w:rPr>
          <w:rFonts w:ascii="Garamond" w:hAnsi="Garamond"/>
          <w:sz w:val="24"/>
          <w:szCs w:val="24"/>
        </w:rPr>
      </w:pPr>
    </w:p>
    <w:p w14:paraId="28E46692" w14:textId="7F2A38D9" w:rsidR="00816B62" w:rsidRPr="00616CF0" w:rsidRDefault="005F4768" w:rsidP="00774325">
      <w:pPr>
        <w:pStyle w:val="Sinespaciado"/>
        <w:jc w:val="both"/>
        <w:rPr>
          <w:rFonts w:ascii="Garamond" w:hAnsi="Garamond"/>
          <w:sz w:val="24"/>
          <w:szCs w:val="24"/>
        </w:rPr>
      </w:pPr>
      <w:r w:rsidRPr="00252F5B">
        <w:rPr>
          <w:rFonts w:ascii="Garamond" w:hAnsi="Garamond"/>
          <w:b/>
          <w:bCs/>
          <w:sz w:val="24"/>
          <w:szCs w:val="24"/>
        </w:rPr>
        <w:t xml:space="preserve">a. Estando vigente la escala remunerativa, el servidor público percibe una remuneración inferior a la remuneración mínima prevista en la escala, </w:t>
      </w:r>
      <w:r w:rsidR="00D449B9" w:rsidRPr="00252F5B">
        <w:rPr>
          <w:rFonts w:ascii="Garamond" w:hAnsi="Garamond"/>
          <w:b/>
          <w:bCs/>
          <w:sz w:val="24"/>
          <w:szCs w:val="24"/>
        </w:rPr>
        <w:t>sin embargo,</w:t>
      </w:r>
      <w:r w:rsidRPr="00252F5B">
        <w:rPr>
          <w:rFonts w:ascii="Garamond" w:hAnsi="Garamond"/>
          <w:b/>
          <w:bCs/>
          <w:sz w:val="24"/>
          <w:szCs w:val="24"/>
        </w:rPr>
        <w:t xml:space="preserve"> pretende el pago de la remuneración mínima</w:t>
      </w:r>
      <w:r w:rsidRPr="00616CF0">
        <w:rPr>
          <w:rFonts w:ascii="Garamond" w:hAnsi="Garamond"/>
          <w:sz w:val="24"/>
          <w:szCs w:val="24"/>
        </w:rPr>
        <w:t>.</w:t>
      </w:r>
      <w:r w:rsidR="00F83367" w:rsidRPr="00616CF0">
        <w:rPr>
          <w:rFonts w:ascii="Garamond" w:hAnsi="Garamond"/>
          <w:sz w:val="24"/>
          <w:szCs w:val="24"/>
        </w:rPr>
        <w:t xml:space="preserve"> </w:t>
      </w:r>
      <w:r w:rsidR="00AA2C41">
        <w:rPr>
          <w:rFonts w:ascii="Garamond" w:hAnsi="Garamond"/>
          <w:sz w:val="24"/>
          <w:szCs w:val="24"/>
        </w:rPr>
        <w:t>T</w:t>
      </w:r>
      <w:r w:rsidR="00D449B9">
        <w:rPr>
          <w:rFonts w:ascii="Garamond" w:hAnsi="Garamond"/>
          <w:sz w:val="24"/>
          <w:szCs w:val="24"/>
        </w:rPr>
        <w:t xml:space="preserve">ambién incluye </w:t>
      </w:r>
      <w:r w:rsidR="00606507">
        <w:rPr>
          <w:rFonts w:ascii="Garamond" w:hAnsi="Garamond"/>
          <w:sz w:val="24"/>
          <w:szCs w:val="24"/>
        </w:rPr>
        <w:t>a los servidores que aleguen la no aplicación a su caso de la escala remunerativa.</w:t>
      </w:r>
    </w:p>
    <w:p w14:paraId="7201BD4E" w14:textId="77777777" w:rsidR="00816B62" w:rsidRPr="00616CF0" w:rsidRDefault="00816B62" w:rsidP="00774325">
      <w:pPr>
        <w:pStyle w:val="Sinespaciado"/>
        <w:jc w:val="both"/>
        <w:rPr>
          <w:rFonts w:ascii="Garamond" w:hAnsi="Garamond"/>
          <w:sz w:val="24"/>
          <w:szCs w:val="24"/>
        </w:rPr>
      </w:pPr>
    </w:p>
    <w:p w14:paraId="3B53D85D" w14:textId="74D401A6" w:rsidR="00CD3193" w:rsidRPr="00616CF0" w:rsidRDefault="00CD3193" w:rsidP="00CD3193">
      <w:pPr>
        <w:pStyle w:val="Sinespaciado"/>
        <w:jc w:val="both"/>
        <w:rPr>
          <w:rFonts w:ascii="Garamond" w:hAnsi="Garamond"/>
          <w:sz w:val="24"/>
          <w:szCs w:val="24"/>
        </w:rPr>
      </w:pPr>
      <w:r w:rsidRPr="00616CF0">
        <w:rPr>
          <w:rFonts w:ascii="Garamond" w:hAnsi="Garamond"/>
          <w:sz w:val="24"/>
          <w:szCs w:val="24"/>
        </w:rPr>
        <w:t xml:space="preserve">En este supuesto, tenemos que el servidor público no ha sido incluido en la escala remunerativa aprobada, por cuanto al percibir una remuneración menor a la remuneración mínima de la escala se verifica su no inclusión, lo cual da lugar a la discriminación laboral </w:t>
      </w:r>
      <w:r w:rsidRPr="00AA2C41">
        <w:rPr>
          <w:rFonts w:ascii="Garamond" w:hAnsi="Garamond"/>
          <w:sz w:val="24"/>
          <w:szCs w:val="24"/>
        </w:rPr>
        <w:t>(</w:t>
      </w:r>
      <w:proofErr w:type="spellStart"/>
      <w:r w:rsidRPr="00AA2C41">
        <w:rPr>
          <w:rFonts w:ascii="Garamond" w:hAnsi="Garamond"/>
          <w:i/>
          <w:iCs/>
          <w:sz w:val="24"/>
          <w:szCs w:val="24"/>
        </w:rPr>
        <w:t>discrimination</w:t>
      </w:r>
      <w:proofErr w:type="spellEnd"/>
      <w:r w:rsidRPr="00AA2C41">
        <w:rPr>
          <w:rFonts w:ascii="Garamond" w:hAnsi="Garamond"/>
          <w:i/>
          <w:iCs/>
          <w:sz w:val="24"/>
          <w:szCs w:val="24"/>
        </w:rPr>
        <w:t xml:space="preserve"> au travail</w:t>
      </w:r>
      <w:r w:rsidRPr="00AA2C41">
        <w:rPr>
          <w:rFonts w:ascii="Garamond" w:hAnsi="Garamond"/>
          <w:sz w:val="24"/>
          <w:szCs w:val="24"/>
        </w:rPr>
        <w:t>).</w:t>
      </w:r>
      <w:r w:rsidRPr="00616CF0">
        <w:rPr>
          <w:rFonts w:ascii="Garamond" w:hAnsi="Garamond"/>
          <w:b/>
          <w:bCs/>
          <w:sz w:val="24"/>
          <w:szCs w:val="24"/>
        </w:rPr>
        <w:t xml:space="preserve"> </w:t>
      </w:r>
      <w:r w:rsidRPr="00616CF0">
        <w:rPr>
          <w:rFonts w:ascii="Garamond" w:hAnsi="Garamond"/>
          <w:sz w:val="24"/>
          <w:szCs w:val="24"/>
        </w:rPr>
        <w:t xml:space="preserve">En la sumilla de la </w:t>
      </w:r>
      <w:r w:rsidR="00611BE2">
        <w:rPr>
          <w:rFonts w:ascii="Garamond" w:hAnsi="Garamond"/>
          <w:sz w:val="24"/>
          <w:szCs w:val="24"/>
        </w:rPr>
        <w:t>C</w:t>
      </w:r>
      <w:r w:rsidRPr="00616CF0">
        <w:rPr>
          <w:rFonts w:ascii="Garamond" w:hAnsi="Garamond"/>
          <w:sz w:val="24"/>
          <w:szCs w:val="24"/>
        </w:rPr>
        <w:t xml:space="preserve">asación Laboral 25175-2017 La Libertad se indica </w:t>
      </w:r>
    </w:p>
    <w:p w14:paraId="1AA036B0" w14:textId="77777777" w:rsidR="00CD3193" w:rsidRPr="00616CF0" w:rsidRDefault="00CD3193" w:rsidP="00CD3193">
      <w:pPr>
        <w:pStyle w:val="Sinespaciado"/>
        <w:jc w:val="both"/>
        <w:rPr>
          <w:rFonts w:ascii="Garamond" w:hAnsi="Garamond"/>
          <w:sz w:val="24"/>
          <w:szCs w:val="24"/>
        </w:rPr>
      </w:pPr>
    </w:p>
    <w:p w14:paraId="0F5EBBAF" w14:textId="77777777" w:rsidR="00CD3193" w:rsidRPr="00611BE2" w:rsidRDefault="00CD3193" w:rsidP="00CD3193">
      <w:pPr>
        <w:pStyle w:val="Sinespaciado"/>
        <w:jc w:val="both"/>
        <w:rPr>
          <w:rFonts w:ascii="Garamond" w:hAnsi="Garamond"/>
          <w:i/>
          <w:iCs/>
          <w:sz w:val="24"/>
          <w:szCs w:val="24"/>
        </w:rPr>
      </w:pPr>
      <w:r w:rsidRPr="00611BE2">
        <w:rPr>
          <w:rFonts w:ascii="Garamond" w:hAnsi="Garamond"/>
          <w:i/>
          <w:iCs/>
          <w:sz w:val="24"/>
          <w:szCs w:val="24"/>
        </w:rPr>
        <w:t>“El derecho de ser incluido en una escala remunerativa es una manifestación del principio de igualdad y prohibición de discriminación en materia laboral”.</w:t>
      </w:r>
    </w:p>
    <w:p w14:paraId="3E6171B4" w14:textId="77777777" w:rsidR="00CD3193" w:rsidRPr="00616CF0" w:rsidRDefault="00CD3193" w:rsidP="00774325">
      <w:pPr>
        <w:pStyle w:val="Sinespaciado"/>
        <w:jc w:val="both"/>
        <w:rPr>
          <w:rFonts w:ascii="Garamond" w:hAnsi="Garamond"/>
          <w:sz w:val="24"/>
          <w:szCs w:val="24"/>
        </w:rPr>
      </w:pPr>
    </w:p>
    <w:p w14:paraId="1888DF90" w14:textId="341AE2E3" w:rsidR="00624351" w:rsidRPr="00616CF0" w:rsidRDefault="00CB1C37" w:rsidP="00624351">
      <w:pPr>
        <w:pStyle w:val="Sinespaciado"/>
        <w:jc w:val="both"/>
        <w:rPr>
          <w:rFonts w:ascii="Garamond" w:hAnsi="Garamond"/>
          <w:sz w:val="24"/>
          <w:szCs w:val="24"/>
        </w:rPr>
      </w:pPr>
      <w:r>
        <w:rPr>
          <w:rFonts w:ascii="Garamond" w:hAnsi="Garamond"/>
          <w:sz w:val="24"/>
          <w:szCs w:val="24"/>
        </w:rPr>
        <w:t>Ahora bien, en e</w:t>
      </w:r>
      <w:r w:rsidR="00624351" w:rsidRPr="00616CF0">
        <w:rPr>
          <w:rFonts w:ascii="Garamond" w:hAnsi="Garamond"/>
          <w:sz w:val="24"/>
          <w:szCs w:val="24"/>
        </w:rPr>
        <w:t xml:space="preserve">l considerando 13 y 14 de la sentencia de vista (resolución 20) emitida en el Expediente 03003-2018-0-1801-JR-LA-02 por la Segunda Sala Laboral Permanente de la Corte Superior de Justicia de Lima </w:t>
      </w:r>
      <w:r>
        <w:rPr>
          <w:rFonts w:ascii="Garamond" w:hAnsi="Garamond"/>
          <w:sz w:val="24"/>
          <w:szCs w:val="24"/>
        </w:rPr>
        <w:t xml:space="preserve">se </w:t>
      </w:r>
      <w:r w:rsidR="00624351" w:rsidRPr="00616CF0">
        <w:rPr>
          <w:rFonts w:ascii="Garamond" w:hAnsi="Garamond"/>
          <w:sz w:val="24"/>
          <w:szCs w:val="24"/>
        </w:rPr>
        <w:t xml:space="preserve">indica </w:t>
      </w:r>
    </w:p>
    <w:p w14:paraId="55F54C96" w14:textId="77777777" w:rsidR="00624351" w:rsidRPr="00616CF0" w:rsidRDefault="00624351" w:rsidP="00624351">
      <w:pPr>
        <w:pStyle w:val="Sinespaciado"/>
        <w:jc w:val="both"/>
        <w:rPr>
          <w:rFonts w:ascii="Garamond" w:hAnsi="Garamond"/>
          <w:sz w:val="24"/>
          <w:szCs w:val="24"/>
        </w:rPr>
      </w:pPr>
    </w:p>
    <w:p w14:paraId="3E87F5F4" w14:textId="6C756000" w:rsidR="00624351" w:rsidRPr="00270D61" w:rsidRDefault="00624351" w:rsidP="00624351">
      <w:pPr>
        <w:pStyle w:val="Sinespaciado"/>
        <w:jc w:val="both"/>
        <w:rPr>
          <w:rFonts w:ascii="Garamond" w:hAnsi="Garamond"/>
          <w:i/>
          <w:iCs/>
          <w:sz w:val="24"/>
          <w:szCs w:val="24"/>
        </w:rPr>
      </w:pPr>
      <w:r w:rsidRPr="00270D61">
        <w:rPr>
          <w:rFonts w:ascii="Garamond" w:hAnsi="Garamond"/>
          <w:i/>
          <w:iCs/>
          <w:sz w:val="24"/>
          <w:szCs w:val="24"/>
        </w:rPr>
        <w:t xml:space="preserve">“Entonces, es claro que la pretensión principal única del actor es la nivelación de remuneraciones por efecto de la aplicación de la banda salarial establecida por el banco demandado; no obstante, al contener aquellas remuneraciones mínimas, medias y máximas, la parte demandante precisa la posibilidad que la nivelación sea por el mínimo o máximo. En tal sentido, el Colegido advierte que la pretensión del demandante, solo se circunscribe a la pretendida nivelación de remuneraciones por efecto de la aplicación de la banda salarial establecida por el banco; no obstante, la demandante, sin variar el petitum, señaló durante Audiencia de </w:t>
      </w:r>
      <w:r w:rsidRPr="00270D61">
        <w:rPr>
          <w:rFonts w:ascii="Garamond" w:hAnsi="Garamond"/>
          <w:i/>
          <w:iCs/>
          <w:sz w:val="24"/>
          <w:szCs w:val="24"/>
        </w:rPr>
        <w:lastRenderedPageBreak/>
        <w:t xml:space="preserve">Juzgamiento del 06 de junio de 2019, </w:t>
      </w:r>
      <w:r w:rsidRPr="00863F49">
        <w:rPr>
          <w:rFonts w:ascii="Garamond" w:hAnsi="Garamond"/>
          <w:b/>
          <w:bCs/>
          <w:i/>
          <w:iCs/>
          <w:sz w:val="24"/>
          <w:szCs w:val="24"/>
        </w:rPr>
        <w:t>que esta podría establecerse conforme al rango mínimo establecido en la banda salarial</w:t>
      </w:r>
      <w:r w:rsidRPr="00270D61">
        <w:rPr>
          <w:rFonts w:ascii="Garamond" w:hAnsi="Garamond"/>
          <w:i/>
          <w:iCs/>
          <w:sz w:val="24"/>
          <w:szCs w:val="24"/>
        </w:rPr>
        <w:t>”</w:t>
      </w:r>
      <w:r w:rsidR="00863F49">
        <w:rPr>
          <w:rFonts w:ascii="Garamond" w:hAnsi="Garamond"/>
          <w:i/>
          <w:iCs/>
          <w:sz w:val="24"/>
          <w:szCs w:val="24"/>
        </w:rPr>
        <w:t xml:space="preserve"> (el resaltado es nuestro)</w:t>
      </w:r>
      <w:r w:rsidRPr="00270D61">
        <w:rPr>
          <w:rFonts w:ascii="Garamond" w:hAnsi="Garamond"/>
          <w:i/>
          <w:iCs/>
          <w:sz w:val="24"/>
          <w:szCs w:val="24"/>
        </w:rPr>
        <w:t>.</w:t>
      </w:r>
    </w:p>
    <w:p w14:paraId="1C237D41" w14:textId="77777777" w:rsidR="00624351" w:rsidRPr="00616CF0" w:rsidRDefault="00624351" w:rsidP="00774325">
      <w:pPr>
        <w:pStyle w:val="Sinespaciado"/>
        <w:jc w:val="both"/>
        <w:rPr>
          <w:rFonts w:ascii="Garamond" w:hAnsi="Garamond"/>
          <w:sz w:val="24"/>
          <w:szCs w:val="24"/>
        </w:rPr>
      </w:pPr>
    </w:p>
    <w:p w14:paraId="4D3181EC" w14:textId="2EF96B0B" w:rsidR="009475B6" w:rsidRDefault="0084462A" w:rsidP="00774325">
      <w:pPr>
        <w:pStyle w:val="Sinespaciado"/>
        <w:jc w:val="both"/>
        <w:rPr>
          <w:rFonts w:ascii="Garamond" w:hAnsi="Garamond"/>
          <w:sz w:val="24"/>
          <w:szCs w:val="24"/>
        </w:rPr>
      </w:pPr>
      <w:r w:rsidRPr="00616CF0">
        <w:rPr>
          <w:rFonts w:ascii="Garamond" w:hAnsi="Garamond"/>
          <w:sz w:val="24"/>
          <w:szCs w:val="24"/>
        </w:rPr>
        <w:t xml:space="preserve">De esta manera, </w:t>
      </w:r>
      <w:r w:rsidR="00E426DB">
        <w:rPr>
          <w:rFonts w:ascii="Garamond" w:hAnsi="Garamond"/>
          <w:sz w:val="24"/>
          <w:szCs w:val="24"/>
        </w:rPr>
        <w:t>luego de</w:t>
      </w:r>
      <w:r w:rsidR="00D43ECE" w:rsidRPr="00616CF0">
        <w:rPr>
          <w:rFonts w:ascii="Garamond" w:hAnsi="Garamond"/>
          <w:sz w:val="24"/>
          <w:szCs w:val="24"/>
        </w:rPr>
        <w:t xml:space="preserve"> la aplicación </w:t>
      </w:r>
      <w:r w:rsidR="00E426DB">
        <w:rPr>
          <w:rFonts w:ascii="Garamond" w:hAnsi="Garamond"/>
          <w:sz w:val="24"/>
          <w:szCs w:val="24"/>
        </w:rPr>
        <w:t xml:space="preserve">temporal </w:t>
      </w:r>
      <w:r w:rsidR="00D43ECE" w:rsidRPr="00616CF0">
        <w:rPr>
          <w:rFonts w:ascii="Garamond" w:hAnsi="Garamond"/>
          <w:sz w:val="24"/>
          <w:szCs w:val="24"/>
        </w:rPr>
        <w:t>de la es</w:t>
      </w:r>
      <w:r w:rsidR="006A7729">
        <w:rPr>
          <w:rFonts w:ascii="Garamond" w:hAnsi="Garamond"/>
          <w:sz w:val="24"/>
          <w:szCs w:val="24"/>
        </w:rPr>
        <w:t>c</w:t>
      </w:r>
      <w:r w:rsidR="00D43ECE" w:rsidRPr="00616CF0">
        <w:rPr>
          <w:rFonts w:ascii="Garamond" w:hAnsi="Garamond"/>
          <w:sz w:val="24"/>
          <w:szCs w:val="24"/>
        </w:rPr>
        <w:t xml:space="preserve">ala salarial al servidor público </w:t>
      </w:r>
      <w:r w:rsidR="00B042EC" w:rsidRPr="00616CF0">
        <w:rPr>
          <w:rFonts w:ascii="Garamond" w:hAnsi="Garamond"/>
          <w:sz w:val="24"/>
          <w:szCs w:val="24"/>
        </w:rPr>
        <w:t>es preciso establecer que remuneración le es aplicable</w:t>
      </w:r>
      <w:r w:rsidR="00AE51B1" w:rsidRPr="00616CF0">
        <w:rPr>
          <w:rFonts w:ascii="Garamond" w:hAnsi="Garamond"/>
          <w:sz w:val="24"/>
          <w:szCs w:val="24"/>
        </w:rPr>
        <w:t xml:space="preserve">; en el caso </w:t>
      </w:r>
      <w:r w:rsidR="004B096E">
        <w:rPr>
          <w:rFonts w:ascii="Garamond" w:hAnsi="Garamond"/>
          <w:sz w:val="24"/>
          <w:szCs w:val="24"/>
        </w:rPr>
        <w:t xml:space="preserve">de </w:t>
      </w:r>
      <w:r w:rsidR="00AE51B1" w:rsidRPr="00616CF0">
        <w:rPr>
          <w:rFonts w:ascii="Garamond" w:hAnsi="Garamond"/>
          <w:sz w:val="24"/>
          <w:szCs w:val="24"/>
        </w:rPr>
        <w:t>que la escala remunerativa establezca remuneraciones mínimas y máximas</w:t>
      </w:r>
      <w:r w:rsidR="00AC165C" w:rsidRPr="00616CF0">
        <w:rPr>
          <w:rFonts w:ascii="Garamond" w:hAnsi="Garamond"/>
          <w:sz w:val="24"/>
          <w:szCs w:val="24"/>
        </w:rPr>
        <w:t>, el servidor deberá de percibir</w:t>
      </w:r>
      <w:r w:rsidR="001C7370">
        <w:rPr>
          <w:rFonts w:ascii="Garamond" w:hAnsi="Garamond"/>
          <w:sz w:val="24"/>
          <w:szCs w:val="24"/>
        </w:rPr>
        <w:t xml:space="preserve">, </w:t>
      </w:r>
      <w:r w:rsidR="001C7370" w:rsidRPr="001C7370">
        <w:rPr>
          <w:rFonts w:ascii="Garamond" w:hAnsi="Garamond"/>
          <w:i/>
          <w:iCs/>
          <w:sz w:val="24"/>
          <w:szCs w:val="24"/>
        </w:rPr>
        <w:t>in essentia</w:t>
      </w:r>
      <w:r w:rsidR="001C7370">
        <w:rPr>
          <w:rFonts w:ascii="Garamond" w:hAnsi="Garamond"/>
          <w:sz w:val="24"/>
          <w:szCs w:val="24"/>
        </w:rPr>
        <w:t>,</w:t>
      </w:r>
      <w:r w:rsidR="00AC165C" w:rsidRPr="00616CF0">
        <w:rPr>
          <w:rFonts w:ascii="Garamond" w:hAnsi="Garamond"/>
          <w:sz w:val="24"/>
          <w:szCs w:val="24"/>
        </w:rPr>
        <w:t xml:space="preserve"> la remuneración mínima prevista; sin embargo, en el caso </w:t>
      </w:r>
      <w:r w:rsidR="00F134D3">
        <w:rPr>
          <w:rFonts w:ascii="Garamond" w:hAnsi="Garamond"/>
          <w:sz w:val="24"/>
          <w:szCs w:val="24"/>
        </w:rPr>
        <w:t xml:space="preserve">de </w:t>
      </w:r>
      <w:r w:rsidR="00AC165C" w:rsidRPr="00616CF0">
        <w:rPr>
          <w:rFonts w:ascii="Garamond" w:hAnsi="Garamond"/>
          <w:sz w:val="24"/>
          <w:szCs w:val="24"/>
        </w:rPr>
        <w:t xml:space="preserve">que la escala remunerativa </w:t>
      </w:r>
      <w:r w:rsidR="00A43890" w:rsidRPr="00616CF0">
        <w:rPr>
          <w:rFonts w:ascii="Garamond" w:hAnsi="Garamond"/>
          <w:sz w:val="24"/>
          <w:szCs w:val="24"/>
        </w:rPr>
        <w:t>solo establezca la remuneración máxima, solo procedería la inclusión del servidor público a la escala remunerativa</w:t>
      </w:r>
      <w:r w:rsidR="005811D5" w:rsidRPr="00616CF0">
        <w:rPr>
          <w:rFonts w:ascii="Garamond" w:hAnsi="Garamond"/>
          <w:sz w:val="24"/>
          <w:szCs w:val="24"/>
        </w:rPr>
        <w:t xml:space="preserve">, </w:t>
      </w:r>
      <w:r w:rsidR="000B1111">
        <w:rPr>
          <w:rFonts w:ascii="Garamond" w:hAnsi="Garamond"/>
          <w:sz w:val="24"/>
          <w:szCs w:val="24"/>
        </w:rPr>
        <w:t xml:space="preserve">teniendo en cuenta el estado de </w:t>
      </w:r>
      <w:r w:rsidR="008F2FF4">
        <w:rPr>
          <w:rFonts w:ascii="Garamond" w:hAnsi="Garamond"/>
          <w:sz w:val="24"/>
          <w:szCs w:val="24"/>
        </w:rPr>
        <w:t>la</w:t>
      </w:r>
      <w:r w:rsidR="00791763" w:rsidRPr="00616CF0">
        <w:rPr>
          <w:rFonts w:ascii="Garamond" w:hAnsi="Garamond"/>
          <w:sz w:val="24"/>
          <w:szCs w:val="24"/>
        </w:rPr>
        <w:t xml:space="preserve"> aplicación progresiva de la escala, supuesto en el cual la nivelación podría varia</w:t>
      </w:r>
      <w:r w:rsidR="008F2FF4">
        <w:rPr>
          <w:rFonts w:ascii="Garamond" w:hAnsi="Garamond"/>
          <w:sz w:val="24"/>
          <w:szCs w:val="24"/>
        </w:rPr>
        <w:t>r</w:t>
      </w:r>
      <w:r w:rsidR="00791763" w:rsidRPr="00616CF0">
        <w:rPr>
          <w:rFonts w:ascii="Garamond" w:hAnsi="Garamond"/>
          <w:sz w:val="24"/>
          <w:szCs w:val="24"/>
        </w:rPr>
        <w:t xml:space="preserve"> a una homologación de remuneraciones destinada a acreditar que el servidor público perciba la remuneración mayor que le corresponda conforme perciban los servidores </w:t>
      </w:r>
      <w:r w:rsidR="00510AF6" w:rsidRPr="00616CF0">
        <w:rPr>
          <w:rFonts w:ascii="Garamond" w:hAnsi="Garamond"/>
          <w:sz w:val="24"/>
          <w:szCs w:val="24"/>
        </w:rPr>
        <w:t>hom</w:t>
      </w:r>
      <w:r w:rsidR="00511B74" w:rsidRPr="00616CF0">
        <w:rPr>
          <w:rFonts w:ascii="Garamond" w:hAnsi="Garamond"/>
          <w:sz w:val="24"/>
          <w:szCs w:val="24"/>
        </w:rPr>
        <w:t>ó</w:t>
      </w:r>
      <w:r w:rsidR="00510AF6" w:rsidRPr="00616CF0">
        <w:rPr>
          <w:rFonts w:ascii="Garamond" w:hAnsi="Garamond"/>
          <w:sz w:val="24"/>
          <w:szCs w:val="24"/>
        </w:rPr>
        <w:t>logos (mismo cargo, mismo nivel o misma categoría)</w:t>
      </w:r>
      <w:r w:rsidR="00ED71BA">
        <w:rPr>
          <w:rFonts w:ascii="Garamond" w:hAnsi="Garamond"/>
          <w:sz w:val="24"/>
          <w:szCs w:val="24"/>
        </w:rPr>
        <w:t>, también se puede dar el caso en el cual la escala establezca solo el máximo o tope de la remuneración</w:t>
      </w:r>
      <w:r w:rsidR="00416CBA">
        <w:rPr>
          <w:rFonts w:ascii="Garamond" w:hAnsi="Garamond"/>
          <w:sz w:val="24"/>
          <w:szCs w:val="24"/>
        </w:rPr>
        <w:t xml:space="preserve">, supuesto en el cual el servidor que busque la aplicación de la escala deberá acreditar que </w:t>
      </w:r>
      <w:r w:rsidR="008F0E3B">
        <w:rPr>
          <w:rFonts w:ascii="Garamond" w:hAnsi="Garamond"/>
          <w:sz w:val="24"/>
          <w:szCs w:val="24"/>
        </w:rPr>
        <w:t>los otros servidores ya perciben esos topes, para poder acceder al mismo, en este caso</w:t>
      </w:r>
      <w:r w:rsidR="0026317B">
        <w:rPr>
          <w:rFonts w:ascii="Garamond" w:hAnsi="Garamond"/>
          <w:sz w:val="24"/>
          <w:szCs w:val="24"/>
        </w:rPr>
        <w:t xml:space="preserve"> homologación y nivelación se combinan para atender los derechos del servidor</w:t>
      </w:r>
      <w:r w:rsidR="009475B6" w:rsidRPr="00616CF0">
        <w:rPr>
          <w:rFonts w:ascii="Garamond" w:hAnsi="Garamond"/>
          <w:sz w:val="24"/>
          <w:szCs w:val="24"/>
        </w:rPr>
        <w:t>.</w:t>
      </w:r>
    </w:p>
    <w:p w14:paraId="2B168CA3" w14:textId="77777777" w:rsidR="004E2BB9" w:rsidRDefault="004E2BB9" w:rsidP="00774325">
      <w:pPr>
        <w:pStyle w:val="Sinespaciado"/>
        <w:jc w:val="both"/>
        <w:rPr>
          <w:rFonts w:ascii="Garamond" w:hAnsi="Garamond"/>
          <w:sz w:val="24"/>
          <w:szCs w:val="24"/>
        </w:rPr>
      </w:pPr>
    </w:p>
    <w:p w14:paraId="620046BE" w14:textId="0C2CEC34" w:rsidR="00E8482F" w:rsidRPr="00E8482F" w:rsidRDefault="00E8482F" w:rsidP="00E8482F">
      <w:pPr>
        <w:pStyle w:val="Sinespaciado"/>
        <w:jc w:val="center"/>
        <w:rPr>
          <w:rFonts w:ascii="Garamond" w:hAnsi="Garamond"/>
          <w:b/>
          <w:bCs/>
          <w:sz w:val="24"/>
          <w:szCs w:val="24"/>
        </w:rPr>
      </w:pPr>
      <w:r w:rsidRPr="00E8482F">
        <w:rPr>
          <w:rFonts w:ascii="Garamond" w:hAnsi="Garamond"/>
          <w:b/>
          <w:bCs/>
          <w:sz w:val="24"/>
          <w:szCs w:val="24"/>
        </w:rPr>
        <w:t>Diagrama</w:t>
      </w:r>
    </w:p>
    <w:p w14:paraId="47A59222" w14:textId="77777777" w:rsidR="00E8482F" w:rsidRDefault="00E8482F" w:rsidP="00E8482F">
      <w:pPr>
        <w:pStyle w:val="Sinespaciado"/>
        <w:jc w:val="center"/>
        <w:rPr>
          <w:rFonts w:ascii="Garamond" w:hAnsi="Garamond"/>
          <w:sz w:val="24"/>
          <w:szCs w:val="24"/>
        </w:rPr>
      </w:pPr>
    </w:p>
    <w:p w14:paraId="0C63ED23" w14:textId="1E6342D8" w:rsidR="004E2BB9" w:rsidRPr="004E2BB9" w:rsidRDefault="00EA39D7" w:rsidP="004E2BB9">
      <w:pPr>
        <w:pStyle w:val="Sinespaciado"/>
        <w:jc w:val="both"/>
        <w:rPr>
          <w:rFonts w:ascii="Garamond" w:hAnsi="Garamond"/>
          <w:sz w:val="24"/>
          <w:szCs w:val="24"/>
        </w:rPr>
      </w:pPr>
      <w:r>
        <w:rPr>
          <w:rFonts w:ascii="Garamond" w:hAnsi="Garamond"/>
          <w:sz w:val="24"/>
          <w:szCs w:val="24"/>
        </w:rPr>
        <w:t>i</w:t>
      </w:r>
      <w:r w:rsidR="004E2BB9" w:rsidRPr="004E2BB9">
        <w:rPr>
          <w:rFonts w:ascii="Garamond" w:hAnsi="Garamond"/>
          <w:sz w:val="24"/>
          <w:szCs w:val="24"/>
        </w:rPr>
        <w:t>. Aplicación de la escala salarial</w:t>
      </w:r>
    </w:p>
    <w:p w14:paraId="708D178D"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Determinar la remuneración aplicable</w:t>
      </w:r>
    </w:p>
    <w:p w14:paraId="6FCD7322"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Escala con remuneraciones mínimas y máximas</w:t>
      </w:r>
    </w:p>
    <w:p w14:paraId="37C6C362"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 El servidor percibe la remuneración mínima.</w:t>
      </w:r>
    </w:p>
    <w:p w14:paraId="5F424CF5"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Escala con solo remuneración máxima</w:t>
      </w:r>
    </w:p>
    <w:p w14:paraId="0D8F425A"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Inclusión en la escala según aplicación progresiva.</w:t>
      </w:r>
    </w:p>
    <w:p w14:paraId="4BF12706"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Nivelación puede llevar a homologación:</w:t>
      </w:r>
    </w:p>
    <w:p w14:paraId="7D72F116"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Mismo cargo</w:t>
      </w:r>
    </w:p>
    <w:p w14:paraId="3D97C603"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Mismo nivel</w:t>
      </w:r>
    </w:p>
    <w:p w14:paraId="02944606"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 Misma categoría.</w:t>
      </w:r>
    </w:p>
    <w:p w14:paraId="0D4EFAFF" w14:textId="54A5409D" w:rsidR="004E2BB9" w:rsidRPr="004E2BB9" w:rsidRDefault="00EA39D7" w:rsidP="004E2BB9">
      <w:pPr>
        <w:pStyle w:val="Sinespaciado"/>
        <w:jc w:val="both"/>
        <w:rPr>
          <w:rFonts w:ascii="Garamond" w:hAnsi="Garamond"/>
          <w:sz w:val="24"/>
          <w:szCs w:val="24"/>
        </w:rPr>
      </w:pPr>
      <w:r>
        <w:rPr>
          <w:rFonts w:ascii="Garamond" w:hAnsi="Garamond"/>
          <w:sz w:val="24"/>
          <w:szCs w:val="24"/>
        </w:rPr>
        <w:t>ii</w:t>
      </w:r>
      <w:r w:rsidR="004E2BB9" w:rsidRPr="004E2BB9">
        <w:rPr>
          <w:rFonts w:ascii="Garamond" w:hAnsi="Garamond"/>
          <w:sz w:val="24"/>
          <w:szCs w:val="24"/>
        </w:rPr>
        <w:t>. Escala con tope máximo de remuneración</w:t>
      </w:r>
    </w:p>
    <w:p w14:paraId="29FFBF90" w14:textId="77777777" w:rsidR="004E2BB9" w:rsidRPr="004E2BB9" w:rsidRDefault="004E2BB9" w:rsidP="004E2BB9">
      <w:pPr>
        <w:pStyle w:val="Sinespaciado"/>
        <w:jc w:val="both"/>
        <w:rPr>
          <w:rFonts w:ascii="Garamond" w:hAnsi="Garamond"/>
          <w:sz w:val="24"/>
          <w:szCs w:val="24"/>
        </w:rPr>
      </w:pPr>
      <w:r w:rsidRPr="004E2BB9">
        <w:rPr>
          <w:rFonts w:ascii="Garamond" w:hAnsi="Garamond"/>
          <w:sz w:val="24"/>
          <w:szCs w:val="24"/>
        </w:rPr>
        <w:t xml:space="preserve">   ├── El servidor debe demostrar que otros ya perciben el tope.</w:t>
      </w:r>
    </w:p>
    <w:p w14:paraId="6B1A4573" w14:textId="5364C740" w:rsidR="004E2BB9" w:rsidRPr="00616CF0" w:rsidRDefault="004E2BB9" w:rsidP="004E2BB9">
      <w:pPr>
        <w:pStyle w:val="Sinespaciado"/>
        <w:jc w:val="both"/>
        <w:rPr>
          <w:rFonts w:ascii="Garamond" w:hAnsi="Garamond"/>
          <w:sz w:val="24"/>
          <w:szCs w:val="24"/>
        </w:rPr>
      </w:pPr>
      <w:r w:rsidRPr="004E2BB9">
        <w:rPr>
          <w:rFonts w:ascii="Garamond" w:hAnsi="Garamond"/>
          <w:sz w:val="24"/>
          <w:szCs w:val="24"/>
        </w:rPr>
        <w:t xml:space="preserve">   └── Homologación y nivelación combinadas para garantizar derechos.</w:t>
      </w:r>
    </w:p>
    <w:p w14:paraId="76CCD9FD" w14:textId="77777777" w:rsidR="00151C1B" w:rsidRPr="00616CF0" w:rsidRDefault="00151C1B" w:rsidP="00774325">
      <w:pPr>
        <w:pStyle w:val="Sinespaciado"/>
        <w:jc w:val="both"/>
        <w:rPr>
          <w:rFonts w:ascii="Garamond" w:hAnsi="Garamond"/>
          <w:sz w:val="24"/>
          <w:szCs w:val="24"/>
        </w:rPr>
      </w:pPr>
    </w:p>
    <w:p w14:paraId="4558A7CF" w14:textId="158FF344" w:rsidR="00013981" w:rsidRPr="00616CF0" w:rsidRDefault="00FB1FF2" w:rsidP="00774325">
      <w:pPr>
        <w:pStyle w:val="Sinespaciado"/>
        <w:jc w:val="both"/>
        <w:rPr>
          <w:rFonts w:ascii="Garamond" w:hAnsi="Garamond"/>
          <w:sz w:val="24"/>
          <w:szCs w:val="24"/>
        </w:rPr>
      </w:pPr>
      <w:r>
        <w:rPr>
          <w:rFonts w:ascii="Garamond" w:hAnsi="Garamond"/>
          <w:sz w:val="24"/>
          <w:szCs w:val="24"/>
        </w:rPr>
        <w:t>Ahora</w:t>
      </w:r>
      <w:r w:rsidR="006A247B" w:rsidRPr="00616CF0">
        <w:rPr>
          <w:rFonts w:ascii="Garamond" w:hAnsi="Garamond"/>
          <w:sz w:val="24"/>
          <w:szCs w:val="24"/>
        </w:rPr>
        <w:t xml:space="preserve">, </w:t>
      </w:r>
      <w:r>
        <w:rPr>
          <w:rFonts w:ascii="Garamond" w:hAnsi="Garamond"/>
          <w:sz w:val="24"/>
          <w:szCs w:val="24"/>
        </w:rPr>
        <w:t xml:space="preserve">de existir </w:t>
      </w:r>
      <w:r w:rsidR="006A247B" w:rsidRPr="00616CF0">
        <w:rPr>
          <w:rFonts w:ascii="Garamond" w:hAnsi="Garamond"/>
          <w:sz w:val="24"/>
          <w:szCs w:val="24"/>
        </w:rPr>
        <w:t>el pago d</w:t>
      </w:r>
      <w:r w:rsidR="0038106D" w:rsidRPr="00616CF0">
        <w:rPr>
          <w:rFonts w:ascii="Garamond" w:hAnsi="Garamond"/>
          <w:sz w:val="24"/>
          <w:szCs w:val="24"/>
        </w:rPr>
        <w:t>iferenciado</w:t>
      </w:r>
      <w:r w:rsidR="006A247B" w:rsidRPr="00616CF0">
        <w:rPr>
          <w:rFonts w:ascii="Garamond" w:hAnsi="Garamond"/>
          <w:sz w:val="24"/>
          <w:szCs w:val="24"/>
        </w:rPr>
        <w:t xml:space="preserve"> </w:t>
      </w:r>
      <w:r w:rsidR="0038106D" w:rsidRPr="00616CF0">
        <w:rPr>
          <w:rFonts w:ascii="Garamond" w:hAnsi="Garamond"/>
          <w:sz w:val="24"/>
          <w:szCs w:val="24"/>
        </w:rPr>
        <w:t xml:space="preserve">de </w:t>
      </w:r>
      <w:r w:rsidR="006A247B" w:rsidRPr="00616CF0">
        <w:rPr>
          <w:rFonts w:ascii="Garamond" w:hAnsi="Garamond"/>
          <w:sz w:val="24"/>
          <w:szCs w:val="24"/>
        </w:rPr>
        <w:t xml:space="preserve">la remuneración de un servidor público </w:t>
      </w:r>
      <w:r>
        <w:rPr>
          <w:rFonts w:ascii="Garamond" w:hAnsi="Garamond"/>
          <w:sz w:val="24"/>
          <w:szCs w:val="24"/>
        </w:rPr>
        <w:t xml:space="preserve">respecto de la </w:t>
      </w:r>
      <w:r w:rsidR="0038106D" w:rsidRPr="00616CF0">
        <w:rPr>
          <w:rFonts w:ascii="Garamond" w:hAnsi="Garamond"/>
          <w:sz w:val="24"/>
          <w:szCs w:val="24"/>
        </w:rPr>
        <w:t>escala remunerativa</w:t>
      </w:r>
      <w:r>
        <w:rPr>
          <w:rFonts w:ascii="Garamond" w:hAnsi="Garamond"/>
          <w:sz w:val="24"/>
          <w:szCs w:val="24"/>
        </w:rPr>
        <w:t xml:space="preserve"> que le es aplicable</w:t>
      </w:r>
      <w:r w:rsidR="00D4074D">
        <w:rPr>
          <w:rFonts w:ascii="Garamond" w:hAnsi="Garamond"/>
          <w:sz w:val="24"/>
          <w:szCs w:val="24"/>
        </w:rPr>
        <w:t xml:space="preserve"> se estará a la existencia de </w:t>
      </w:r>
      <w:r w:rsidR="0038106D" w:rsidRPr="00616CF0">
        <w:rPr>
          <w:rFonts w:ascii="Garamond" w:hAnsi="Garamond"/>
          <w:sz w:val="24"/>
          <w:szCs w:val="24"/>
        </w:rPr>
        <w:t>una causa objetivo y razonable</w:t>
      </w:r>
      <w:r w:rsidR="00D4074D">
        <w:rPr>
          <w:rFonts w:ascii="Garamond" w:hAnsi="Garamond"/>
          <w:sz w:val="24"/>
          <w:szCs w:val="24"/>
        </w:rPr>
        <w:t xml:space="preserve">, </w:t>
      </w:r>
      <w:r w:rsidR="00D4074D" w:rsidRPr="00A76C30">
        <w:rPr>
          <w:rFonts w:ascii="Garamond" w:hAnsi="Garamond"/>
          <w:i/>
          <w:iCs/>
          <w:sz w:val="24"/>
          <w:szCs w:val="24"/>
        </w:rPr>
        <w:t>verbi gratia</w:t>
      </w:r>
      <w:r w:rsidR="00D4074D">
        <w:rPr>
          <w:rFonts w:ascii="Garamond" w:hAnsi="Garamond"/>
          <w:sz w:val="24"/>
          <w:szCs w:val="24"/>
        </w:rPr>
        <w:t>, la aplicación progresiva de la escala remunerativa dispuesta en la misma norma administrativa general</w:t>
      </w:r>
      <w:r w:rsidR="004865A9">
        <w:rPr>
          <w:rFonts w:ascii="Garamond" w:hAnsi="Garamond"/>
          <w:sz w:val="24"/>
          <w:szCs w:val="24"/>
        </w:rPr>
        <w:t xml:space="preserve"> o la verificación de requisitos para ser considerado dentro de una categoría en la escala</w:t>
      </w:r>
      <w:r w:rsidR="0038106D" w:rsidRPr="00616CF0">
        <w:rPr>
          <w:rFonts w:ascii="Garamond" w:hAnsi="Garamond"/>
          <w:sz w:val="24"/>
          <w:szCs w:val="24"/>
        </w:rPr>
        <w:t xml:space="preserve">. </w:t>
      </w:r>
      <w:r w:rsidR="00D44EDA" w:rsidRPr="00616CF0">
        <w:rPr>
          <w:rFonts w:ascii="Garamond" w:hAnsi="Garamond"/>
          <w:sz w:val="24"/>
          <w:szCs w:val="24"/>
        </w:rPr>
        <w:t xml:space="preserve">En la sumilla de la Casación Laboral 6024-2021 Lima se indica </w:t>
      </w:r>
    </w:p>
    <w:p w14:paraId="2E6C4AAC" w14:textId="0FC413B6" w:rsidR="00D44EDA" w:rsidRPr="00616CF0" w:rsidRDefault="00631F0F" w:rsidP="00774325">
      <w:pPr>
        <w:pStyle w:val="Sinespaciado"/>
        <w:jc w:val="both"/>
        <w:rPr>
          <w:rFonts w:ascii="Garamond" w:hAnsi="Garamond"/>
          <w:sz w:val="24"/>
          <w:szCs w:val="24"/>
        </w:rPr>
      </w:pPr>
      <w:r w:rsidRPr="00616CF0">
        <w:rPr>
          <w:rFonts w:ascii="Garamond" w:hAnsi="Garamond"/>
          <w:sz w:val="24"/>
          <w:szCs w:val="24"/>
        </w:rPr>
        <w:t xml:space="preserve"> </w:t>
      </w:r>
    </w:p>
    <w:p w14:paraId="4D675465" w14:textId="7C2A8D67" w:rsidR="00D44EDA" w:rsidRPr="00616CF0" w:rsidRDefault="00D44EDA" w:rsidP="00631F0F">
      <w:pPr>
        <w:pStyle w:val="Sinespaciado"/>
        <w:jc w:val="both"/>
        <w:rPr>
          <w:rFonts w:ascii="Garamond" w:hAnsi="Garamond"/>
          <w:i/>
          <w:iCs/>
          <w:sz w:val="24"/>
          <w:szCs w:val="24"/>
        </w:rPr>
      </w:pPr>
      <w:r w:rsidRPr="00616CF0">
        <w:rPr>
          <w:rFonts w:ascii="Garamond" w:hAnsi="Garamond"/>
          <w:sz w:val="24"/>
          <w:szCs w:val="24"/>
        </w:rPr>
        <w:t>“</w:t>
      </w:r>
      <w:r w:rsidR="00631F0F" w:rsidRPr="00616CF0">
        <w:rPr>
          <w:rFonts w:ascii="Garamond" w:hAnsi="Garamond"/>
          <w:i/>
          <w:iCs/>
          <w:sz w:val="24"/>
          <w:szCs w:val="24"/>
        </w:rPr>
        <w:t xml:space="preserve">Se afecta el principio de igualdad cuando no existe </w:t>
      </w:r>
      <w:r w:rsidR="00631F0F" w:rsidRPr="00631F0F">
        <w:rPr>
          <w:rFonts w:ascii="Garamond" w:hAnsi="Garamond"/>
          <w:i/>
          <w:iCs/>
          <w:sz w:val="24"/>
          <w:szCs w:val="24"/>
        </w:rPr>
        <w:t>razón suficiente para denegar el derecho al demandante a</w:t>
      </w:r>
      <w:r w:rsidR="00631F0F" w:rsidRPr="00616CF0">
        <w:rPr>
          <w:rFonts w:ascii="Garamond" w:hAnsi="Garamond"/>
          <w:i/>
          <w:iCs/>
          <w:sz w:val="24"/>
          <w:szCs w:val="24"/>
        </w:rPr>
        <w:t xml:space="preserve"> </w:t>
      </w:r>
      <w:r w:rsidR="00631F0F" w:rsidRPr="00631F0F">
        <w:rPr>
          <w:rFonts w:ascii="Garamond" w:hAnsi="Garamond"/>
          <w:i/>
          <w:iCs/>
          <w:sz w:val="24"/>
          <w:szCs w:val="24"/>
        </w:rPr>
        <w:t>percibir una remuneración conforme a la categoría mínima</w:t>
      </w:r>
      <w:r w:rsidR="00631F0F" w:rsidRPr="00616CF0">
        <w:rPr>
          <w:rFonts w:ascii="Garamond" w:hAnsi="Garamond"/>
          <w:i/>
          <w:iCs/>
          <w:sz w:val="24"/>
          <w:szCs w:val="24"/>
        </w:rPr>
        <w:t xml:space="preserve"> </w:t>
      </w:r>
      <w:r w:rsidR="00631F0F" w:rsidRPr="00631F0F">
        <w:rPr>
          <w:rFonts w:ascii="Garamond" w:hAnsi="Garamond"/>
          <w:i/>
          <w:iCs/>
          <w:sz w:val="24"/>
          <w:szCs w:val="24"/>
        </w:rPr>
        <w:t>de la escala remunerativa de los obreros permanente de la</w:t>
      </w:r>
      <w:r w:rsidR="00631F0F" w:rsidRPr="00616CF0">
        <w:rPr>
          <w:rFonts w:ascii="Garamond" w:hAnsi="Garamond"/>
          <w:i/>
          <w:iCs/>
          <w:sz w:val="24"/>
          <w:szCs w:val="24"/>
        </w:rPr>
        <w:t xml:space="preserve"> demandada”.</w:t>
      </w:r>
    </w:p>
    <w:p w14:paraId="43DFB6B0" w14:textId="77777777" w:rsidR="00631F0F" w:rsidRPr="00616CF0" w:rsidRDefault="00631F0F" w:rsidP="00631F0F">
      <w:pPr>
        <w:pStyle w:val="Sinespaciado"/>
        <w:jc w:val="both"/>
        <w:rPr>
          <w:rFonts w:ascii="Garamond" w:hAnsi="Garamond"/>
          <w:sz w:val="24"/>
          <w:szCs w:val="24"/>
        </w:rPr>
      </w:pPr>
    </w:p>
    <w:p w14:paraId="163F650C" w14:textId="6C883A0C" w:rsidR="00EA39D7" w:rsidRDefault="00EA39D7" w:rsidP="005F4768">
      <w:pPr>
        <w:pStyle w:val="Sinespaciado"/>
        <w:jc w:val="both"/>
        <w:rPr>
          <w:rFonts w:ascii="Garamond" w:hAnsi="Garamond"/>
          <w:sz w:val="24"/>
          <w:szCs w:val="24"/>
        </w:rPr>
      </w:pPr>
      <w:r>
        <w:rPr>
          <w:rFonts w:ascii="Garamond" w:hAnsi="Garamond"/>
          <w:sz w:val="24"/>
          <w:szCs w:val="24"/>
        </w:rPr>
        <w:t xml:space="preserve">Asimismo, debe de tenerse en cuenta </w:t>
      </w:r>
      <w:r w:rsidR="00853155">
        <w:rPr>
          <w:rFonts w:ascii="Garamond" w:hAnsi="Garamond"/>
          <w:sz w:val="24"/>
          <w:szCs w:val="24"/>
        </w:rPr>
        <w:t xml:space="preserve">si conforme al régimen laboral que ostenta el servidor le es aplicable la escala remunerativa, </w:t>
      </w:r>
      <w:r w:rsidR="00853155" w:rsidRPr="00C92BC5">
        <w:rPr>
          <w:rFonts w:ascii="Garamond" w:hAnsi="Garamond"/>
          <w:i/>
          <w:iCs/>
          <w:sz w:val="24"/>
          <w:szCs w:val="24"/>
        </w:rPr>
        <w:t>verbi gratia</w:t>
      </w:r>
      <w:r w:rsidR="00853155">
        <w:rPr>
          <w:rFonts w:ascii="Garamond" w:hAnsi="Garamond"/>
          <w:sz w:val="24"/>
          <w:szCs w:val="24"/>
        </w:rPr>
        <w:t xml:space="preserve">, si la escala remunerativa es para servidores </w:t>
      </w:r>
      <w:r w:rsidR="0007693E">
        <w:rPr>
          <w:rFonts w:ascii="Garamond" w:hAnsi="Garamond"/>
          <w:sz w:val="24"/>
          <w:szCs w:val="24"/>
        </w:rPr>
        <w:t>del régimen laboral público del Decreto Legislativo 276, no será aplicable a los servidores del régimen de contratación administrativa de servicios (CAS) del Decreto legislativo 1057.</w:t>
      </w:r>
    </w:p>
    <w:p w14:paraId="3183ACC8" w14:textId="77777777" w:rsidR="0007693E" w:rsidRDefault="0007693E" w:rsidP="005F4768">
      <w:pPr>
        <w:pStyle w:val="Sinespaciado"/>
        <w:jc w:val="both"/>
        <w:rPr>
          <w:rFonts w:ascii="Garamond" w:hAnsi="Garamond"/>
          <w:sz w:val="24"/>
          <w:szCs w:val="24"/>
        </w:rPr>
      </w:pPr>
    </w:p>
    <w:p w14:paraId="5AB7D59E" w14:textId="31880F7D" w:rsidR="005F4768" w:rsidRPr="00616CF0" w:rsidRDefault="005F4768" w:rsidP="005F4768">
      <w:pPr>
        <w:pStyle w:val="Sinespaciado"/>
        <w:jc w:val="both"/>
        <w:rPr>
          <w:rFonts w:ascii="Garamond" w:hAnsi="Garamond"/>
          <w:sz w:val="24"/>
          <w:szCs w:val="24"/>
        </w:rPr>
      </w:pPr>
      <w:r w:rsidRPr="00795DBB">
        <w:rPr>
          <w:rFonts w:ascii="Garamond" w:hAnsi="Garamond"/>
          <w:b/>
          <w:bCs/>
          <w:sz w:val="24"/>
          <w:szCs w:val="24"/>
        </w:rPr>
        <w:t>b. Estando vigente la escala remunerativa, el servidor público percibe una remuneración inferior a la remuneración mínima prevista en la escala, pero pretende el pago de la remuneración máxima</w:t>
      </w:r>
      <w:r w:rsidRPr="00616CF0">
        <w:rPr>
          <w:rFonts w:ascii="Garamond" w:hAnsi="Garamond"/>
          <w:sz w:val="24"/>
          <w:szCs w:val="24"/>
        </w:rPr>
        <w:t>.</w:t>
      </w:r>
      <w:r w:rsidR="004379DF">
        <w:rPr>
          <w:rFonts w:ascii="Garamond" w:hAnsi="Garamond"/>
          <w:sz w:val="24"/>
          <w:szCs w:val="24"/>
        </w:rPr>
        <w:t xml:space="preserve"> Este supuesto también implica al servidor que considere que es excluido de la aplicación de una escala remunerativa y pide su aplicación</w:t>
      </w:r>
      <w:r w:rsidR="00795DBB">
        <w:rPr>
          <w:rFonts w:ascii="Garamond" w:hAnsi="Garamond"/>
          <w:sz w:val="24"/>
          <w:szCs w:val="24"/>
        </w:rPr>
        <w:t xml:space="preserve"> por incorporación.</w:t>
      </w:r>
      <w:r w:rsidRPr="00616CF0">
        <w:rPr>
          <w:rFonts w:ascii="Garamond" w:hAnsi="Garamond"/>
          <w:sz w:val="24"/>
          <w:szCs w:val="24"/>
        </w:rPr>
        <w:t xml:space="preserve">  </w:t>
      </w:r>
    </w:p>
    <w:p w14:paraId="3A3C38AE" w14:textId="77777777" w:rsidR="00F21E4D" w:rsidRPr="00616CF0" w:rsidRDefault="00F21E4D" w:rsidP="00774325">
      <w:pPr>
        <w:pStyle w:val="Sinespaciado"/>
        <w:jc w:val="both"/>
        <w:rPr>
          <w:rFonts w:ascii="Garamond" w:hAnsi="Garamond"/>
          <w:sz w:val="24"/>
          <w:szCs w:val="24"/>
        </w:rPr>
      </w:pPr>
    </w:p>
    <w:p w14:paraId="33574C52" w14:textId="61388A62" w:rsidR="00F21E4D" w:rsidRPr="00616CF0" w:rsidRDefault="00F21E4D" w:rsidP="00F21E4D">
      <w:pPr>
        <w:pStyle w:val="Sinespaciado"/>
        <w:jc w:val="both"/>
        <w:rPr>
          <w:rFonts w:ascii="Garamond" w:hAnsi="Garamond"/>
          <w:sz w:val="24"/>
          <w:szCs w:val="24"/>
        </w:rPr>
      </w:pPr>
      <w:r w:rsidRPr="00616CF0">
        <w:rPr>
          <w:rFonts w:ascii="Garamond" w:hAnsi="Garamond"/>
          <w:sz w:val="24"/>
          <w:szCs w:val="24"/>
        </w:rPr>
        <w:t xml:space="preserve">En el caso </w:t>
      </w:r>
      <w:r w:rsidR="003D3B98">
        <w:rPr>
          <w:rFonts w:ascii="Garamond" w:hAnsi="Garamond"/>
          <w:sz w:val="24"/>
          <w:szCs w:val="24"/>
        </w:rPr>
        <w:t xml:space="preserve">de </w:t>
      </w:r>
      <w:r w:rsidRPr="00616CF0">
        <w:rPr>
          <w:rFonts w:ascii="Garamond" w:hAnsi="Garamond"/>
          <w:sz w:val="24"/>
          <w:szCs w:val="24"/>
        </w:rPr>
        <w:t xml:space="preserve">que en la escala </w:t>
      </w:r>
      <w:r w:rsidR="00795DBB">
        <w:rPr>
          <w:rFonts w:ascii="Garamond" w:hAnsi="Garamond"/>
          <w:sz w:val="24"/>
          <w:szCs w:val="24"/>
        </w:rPr>
        <w:t xml:space="preserve">remunerativa se </w:t>
      </w:r>
      <w:r w:rsidRPr="00616CF0">
        <w:rPr>
          <w:rFonts w:ascii="Garamond" w:hAnsi="Garamond"/>
          <w:sz w:val="24"/>
          <w:szCs w:val="24"/>
        </w:rPr>
        <w:t xml:space="preserve">establezca una remuneración mínima y máxima, es importante evaluar si esto está sujeto a un </w:t>
      </w:r>
      <w:r w:rsidR="000D1523" w:rsidRPr="00616CF0">
        <w:rPr>
          <w:rFonts w:ascii="Garamond" w:hAnsi="Garamond"/>
          <w:sz w:val="24"/>
          <w:szCs w:val="24"/>
        </w:rPr>
        <w:t xml:space="preserve">proceso gradual, si esto es así, </w:t>
      </w:r>
      <w:r w:rsidR="00754C91" w:rsidRPr="00616CF0">
        <w:rPr>
          <w:rFonts w:ascii="Garamond" w:hAnsi="Garamond"/>
          <w:sz w:val="24"/>
          <w:szCs w:val="24"/>
        </w:rPr>
        <w:t>deberá de verificarse en que estado está ese proceso y verificar si respecto de un determinado servidor se viene incumpliendo con ese proceso</w:t>
      </w:r>
      <w:r w:rsidR="00C94F06" w:rsidRPr="00616CF0">
        <w:rPr>
          <w:rFonts w:ascii="Garamond" w:hAnsi="Garamond"/>
          <w:sz w:val="24"/>
          <w:szCs w:val="24"/>
        </w:rPr>
        <w:t xml:space="preserve">; en el caso de haberse emitido la escala con un máximo remunerativo, esto será aplicable si se </w:t>
      </w:r>
      <w:r w:rsidR="00591BDE" w:rsidRPr="00616CF0">
        <w:rPr>
          <w:rFonts w:ascii="Garamond" w:hAnsi="Garamond"/>
          <w:sz w:val="24"/>
          <w:szCs w:val="24"/>
        </w:rPr>
        <w:t>verifica o acredita que este monto es un monto fijo e inamovible, además de no estar sujeto a una condición suspensiva</w:t>
      </w:r>
      <w:r w:rsidR="00B11607" w:rsidRPr="00616CF0">
        <w:rPr>
          <w:rFonts w:ascii="Garamond" w:hAnsi="Garamond"/>
          <w:sz w:val="24"/>
          <w:szCs w:val="24"/>
        </w:rPr>
        <w:t xml:space="preserve">, como podría ser el supuesto de declarar la aplicación progresiva de la escala. </w:t>
      </w:r>
      <w:r w:rsidRPr="00616CF0">
        <w:rPr>
          <w:rFonts w:ascii="Garamond" w:hAnsi="Garamond"/>
          <w:sz w:val="24"/>
          <w:szCs w:val="24"/>
        </w:rPr>
        <w:t xml:space="preserve">En el séptimo considerando de la Casación Laboral 18798-2018 Junín (Perú) se indica </w:t>
      </w:r>
    </w:p>
    <w:p w14:paraId="3717A8DA" w14:textId="77777777" w:rsidR="00F21E4D" w:rsidRPr="00616CF0" w:rsidRDefault="00F21E4D" w:rsidP="00F21E4D">
      <w:pPr>
        <w:pStyle w:val="Sinespaciado"/>
        <w:jc w:val="both"/>
        <w:rPr>
          <w:rFonts w:ascii="Garamond" w:hAnsi="Garamond"/>
          <w:sz w:val="24"/>
          <w:szCs w:val="24"/>
        </w:rPr>
      </w:pPr>
    </w:p>
    <w:p w14:paraId="21B57C7A" w14:textId="34134F14" w:rsidR="00F21E4D" w:rsidRPr="005C1A53" w:rsidRDefault="00F21E4D" w:rsidP="00F21E4D">
      <w:pPr>
        <w:pStyle w:val="Sinespaciado"/>
        <w:jc w:val="both"/>
        <w:rPr>
          <w:rFonts w:ascii="Garamond" w:hAnsi="Garamond"/>
          <w:i/>
          <w:iCs/>
          <w:sz w:val="24"/>
          <w:szCs w:val="24"/>
        </w:rPr>
      </w:pPr>
      <w:r w:rsidRPr="005C1A53">
        <w:rPr>
          <w:rFonts w:ascii="Garamond" w:hAnsi="Garamond"/>
          <w:i/>
          <w:iCs/>
          <w:sz w:val="24"/>
          <w:szCs w:val="24"/>
        </w:rPr>
        <w:t>“</w:t>
      </w:r>
      <w:r w:rsidRPr="005C1A53">
        <w:rPr>
          <w:rFonts w:ascii="Garamond" w:hAnsi="Garamond"/>
          <w:i/>
          <w:iCs/>
          <w:sz w:val="24"/>
          <w:szCs w:val="24"/>
          <w:lang w:val="es-ES"/>
        </w:rPr>
        <w:t>por tanto, el juzgador deberá evaluar si al demandante le corresponde el reintegro de remuneraciones por la nivelación” “</w:t>
      </w:r>
      <w:r w:rsidRPr="005C1A53">
        <w:rPr>
          <w:rFonts w:ascii="Garamond" w:hAnsi="Garamond"/>
          <w:b/>
          <w:bCs/>
          <w:i/>
          <w:iCs/>
          <w:sz w:val="24"/>
          <w:szCs w:val="24"/>
          <w:lang w:val="es-ES"/>
        </w:rPr>
        <w:t>teniendo en consideración que corresponde motivar s</w:t>
      </w:r>
      <w:r w:rsidRPr="005C1A53">
        <w:rPr>
          <w:rFonts w:ascii="Garamond" w:hAnsi="Garamond"/>
          <w:b/>
          <w:bCs/>
          <w:i/>
          <w:iCs/>
          <w:sz w:val="24"/>
          <w:szCs w:val="24"/>
        </w:rPr>
        <w:t xml:space="preserve">i el monto establecido en ambas escalas remunerativas son remuneraciones fijas e </w:t>
      </w:r>
      <w:r w:rsidRPr="005C1A53">
        <w:rPr>
          <w:rFonts w:ascii="Garamond" w:hAnsi="Garamond"/>
          <w:b/>
          <w:bCs/>
          <w:i/>
          <w:iCs/>
          <w:sz w:val="24"/>
          <w:szCs w:val="24"/>
          <w:lang w:val="es-ES"/>
        </w:rPr>
        <w:t>inamovibles en su percepción</w:t>
      </w:r>
      <w:r w:rsidRPr="005C1A53">
        <w:rPr>
          <w:rFonts w:ascii="Garamond" w:hAnsi="Garamond"/>
          <w:b/>
          <w:bCs/>
          <w:i/>
          <w:iCs/>
          <w:sz w:val="24"/>
          <w:szCs w:val="24"/>
        </w:rPr>
        <w:t>, o si se tratan de remuneraciones totales máximas</w:t>
      </w:r>
      <w:r w:rsidRPr="005C1A53">
        <w:rPr>
          <w:rFonts w:ascii="Garamond" w:hAnsi="Garamond"/>
          <w:i/>
          <w:iCs/>
          <w:sz w:val="24"/>
          <w:szCs w:val="24"/>
        </w:rPr>
        <w:t xml:space="preserve">; es decir, topes remunerativos que no podían ser sobrepasados y sujetos a diversos condicionamientos establecidos en las mismas directivas autoritativas. </w:t>
      </w:r>
      <w:r w:rsidRPr="005C1A53">
        <w:rPr>
          <w:rFonts w:ascii="Garamond" w:hAnsi="Garamond"/>
          <w:i/>
          <w:iCs/>
          <w:sz w:val="24"/>
          <w:szCs w:val="24"/>
          <w:lang w:val="es-ES"/>
        </w:rPr>
        <w:t>En efecto, deberá analizarse si la aplicación de las escalas es o no automática, y si se cumple con todos los presupuestos para su implementación</w:t>
      </w:r>
      <w:r w:rsidRPr="005C1A53">
        <w:rPr>
          <w:rFonts w:ascii="Garamond" w:hAnsi="Garamond"/>
          <w:i/>
          <w:iCs/>
          <w:sz w:val="24"/>
          <w:szCs w:val="24"/>
        </w:rPr>
        <w:t>”</w:t>
      </w:r>
      <w:r w:rsidR="005C1A53">
        <w:rPr>
          <w:rFonts w:ascii="Garamond" w:hAnsi="Garamond"/>
          <w:i/>
          <w:iCs/>
          <w:sz w:val="24"/>
          <w:szCs w:val="24"/>
        </w:rPr>
        <w:t xml:space="preserve"> (el resaltado es nuestro)</w:t>
      </w:r>
      <w:r w:rsidRPr="005C1A53">
        <w:rPr>
          <w:rFonts w:ascii="Garamond" w:hAnsi="Garamond"/>
          <w:i/>
          <w:iCs/>
          <w:sz w:val="24"/>
          <w:szCs w:val="24"/>
        </w:rPr>
        <w:t>.</w:t>
      </w:r>
    </w:p>
    <w:p w14:paraId="3997AF18" w14:textId="77777777" w:rsidR="009F3F3C" w:rsidRPr="00616CF0" w:rsidRDefault="009F3F3C" w:rsidP="00774325">
      <w:pPr>
        <w:pStyle w:val="Sinespaciado"/>
        <w:jc w:val="both"/>
        <w:rPr>
          <w:rFonts w:ascii="Garamond" w:hAnsi="Garamond"/>
          <w:sz w:val="24"/>
          <w:szCs w:val="24"/>
        </w:rPr>
      </w:pPr>
    </w:p>
    <w:p w14:paraId="0B250CFB" w14:textId="60F85723" w:rsidR="009F3F3C" w:rsidRPr="00616CF0" w:rsidRDefault="009F3F3C" w:rsidP="009F3F3C">
      <w:pPr>
        <w:pStyle w:val="Sinespaciado"/>
        <w:jc w:val="both"/>
        <w:rPr>
          <w:rFonts w:ascii="Garamond" w:hAnsi="Garamond"/>
          <w:sz w:val="24"/>
          <w:szCs w:val="24"/>
        </w:rPr>
      </w:pPr>
      <w:r w:rsidRPr="00616CF0">
        <w:rPr>
          <w:rFonts w:ascii="Garamond" w:hAnsi="Garamond"/>
          <w:sz w:val="24"/>
          <w:szCs w:val="24"/>
        </w:rPr>
        <w:t>Por su parte,</w:t>
      </w:r>
      <w:r w:rsidR="00136109" w:rsidRPr="00616CF0">
        <w:rPr>
          <w:rFonts w:ascii="Garamond" w:hAnsi="Garamond"/>
          <w:sz w:val="24"/>
          <w:szCs w:val="24"/>
        </w:rPr>
        <w:t xml:space="preserve"> la </w:t>
      </w:r>
      <w:r w:rsidR="00B05A71" w:rsidRPr="00616CF0">
        <w:rPr>
          <w:rFonts w:ascii="Garamond" w:hAnsi="Garamond"/>
          <w:sz w:val="24"/>
          <w:szCs w:val="24"/>
        </w:rPr>
        <w:t>entrada en vigencia de una escala remunerativa</w:t>
      </w:r>
      <w:r w:rsidR="008F2E28" w:rsidRPr="00616CF0">
        <w:rPr>
          <w:rFonts w:ascii="Garamond" w:hAnsi="Garamond"/>
          <w:sz w:val="24"/>
          <w:szCs w:val="24"/>
        </w:rPr>
        <w:t xml:space="preserve"> no otorga por sí el derecho laboral a percibir los montos máximos establecidos</w:t>
      </w:r>
      <w:r w:rsidR="00156B76" w:rsidRPr="00616CF0">
        <w:rPr>
          <w:rFonts w:ascii="Garamond" w:hAnsi="Garamond"/>
          <w:sz w:val="24"/>
          <w:szCs w:val="24"/>
        </w:rPr>
        <w:t xml:space="preserve">, por lo que deberá evaluarse la norma </w:t>
      </w:r>
      <w:r w:rsidR="00C648BC">
        <w:rPr>
          <w:rFonts w:ascii="Garamond" w:hAnsi="Garamond"/>
          <w:sz w:val="24"/>
          <w:szCs w:val="24"/>
        </w:rPr>
        <w:t>administrativa general</w:t>
      </w:r>
      <w:r w:rsidR="00156B76" w:rsidRPr="00616CF0">
        <w:rPr>
          <w:rFonts w:ascii="Garamond" w:hAnsi="Garamond"/>
          <w:sz w:val="24"/>
          <w:szCs w:val="24"/>
        </w:rPr>
        <w:t xml:space="preserve"> que aprueba la mencionada escala. </w:t>
      </w:r>
      <w:r w:rsidRPr="00616CF0">
        <w:rPr>
          <w:rFonts w:ascii="Garamond" w:hAnsi="Garamond"/>
          <w:sz w:val="24"/>
          <w:szCs w:val="24"/>
        </w:rPr>
        <w:t xml:space="preserve">En </w:t>
      </w:r>
      <w:r w:rsidR="00156B76" w:rsidRPr="00616CF0">
        <w:rPr>
          <w:rFonts w:ascii="Garamond" w:hAnsi="Garamond"/>
          <w:sz w:val="24"/>
          <w:szCs w:val="24"/>
        </w:rPr>
        <w:t xml:space="preserve">el </w:t>
      </w:r>
      <w:r w:rsidRPr="00616CF0">
        <w:rPr>
          <w:rFonts w:ascii="Garamond" w:hAnsi="Garamond"/>
          <w:sz w:val="24"/>
          <w:szCs w:val="24"/>
        </w:rPr>
        <w:t xml:space="preserve">undécimo considerando de la Casación Laboral 10218-2019 Lima (Perú) se indica </w:t>
      </w:r>
    </w:p>
    <w:p w14:paraId="276FA3D2" w14:textId="77777777" w:rsidR="009F3F3C" w:rsidRPr="00616CF0" w:rsidRDefault="009F3F3C" w:rsidP="009F3F3C">
      <w:pPr>
        <w:pStyle w:val="Sinespaciado"/>
        <w:jc w:val="both"/>
        <w:rPr>
          <w:rFonts w:ascii="Garamond" w:hAnsi="Garamond"/>
          <w:sz w:val="24"/>
          <w:szCs w:val="24"/>
        </w:rPr>
      </w:pPr>
    </w:p>
    <w:p w14:paraId="00EC7055" w14:textId="0F15A90D" w:rsidR="009F3F3C" w:rsidRPr="00535366" w:rsidRDefault="009F3F3C" w:rsidP="009F3F3C">
      <w:pPr>
        <w:pStyle w:val="Sinespaciado"/>
        <w:jc w:val="both"/>
        <w:rPr>
          <w:rFonts w:ascii="Garamond" w:hAnsi="Garamond"/>
          <w:i/>
          <w:iCs/>
          <w:sz w:val="24"/>
          <w:szCs w:val="24"/>
        </w:rPr>
      </w:pPr>
      <w:r w:rsidRPr="00535366">
        <w:rPr>
          <w:rFonts w:ascii="Garamond" w:hAnsi="Garamond"/>
          <w:i/>
          <w:iCs/>
          <w:sz w:val="24"/>
          <w:szCs w:val="24"/>
        </w:rPr>
        <w:t xml:space="preserve">“Ahora bien, del Decreto Supremo N. 198-2004-EF y su Anexo, se verifica que se aprueba la escala remunerativa del Registro Nacional de Identificación y Estado Civil RENIEC, por la que se establecen remuneraciones máximas que corresponderán ser otorgadas de manera particular a cada servidor en función de la categoría o cargo que desempeña dentro de la institución, y no una remuneración específica y determinada. Se trata, en concreto, de una política remunerativa que, como se denota del anexo en referencia, </w:t>
      </w:r>
      <w:r w:rsidRPr="005C352E">
        <w:rPr>
          <w:rFonts w:ascii="Garamond" w:hAnsi="Garamond"/>
          <w:b/>
          <w:bCs/>
          <w:i/>
          <w:iCs/>
          <w:sz w:val="24"/>
          <w:szCs w:val="24"/>
        </w:rPr>
        <w:t>constituye una escala de remuneraciones máximas, montos que no necesariamente son los que efectivamente deban percibir los trabajadores en actividad; por lo tanto, pueden existir remuneraciones que estén por debajo de los topes máximos establecidos que, de ser el caso, constituye una medida dentro del marco de la legalidad.</w:t>
      </w:r>
      <w:r w:rsidRPr="00535366">
        <w:rPr>
          <w:rFonts w:ascii="Garamond" w:hAnsi="Garamond"/>
          <w:i/>
          <w:iCs/>
          <w:sz w:val="24"/>
          <w:szCs w:val="24"/>
        </w:rPr>
        <w:t xml:space="preserve"> Para dicho fin, el dispositivo legal preveía que sería el </w:t>
      </w:r>
      <w:proofErr w:type="gramStart"/>
      <w:r w:rsidRPr="00535366">
        <w:rPr>
          <w:rFonts w:ascii="Garamond" w:hAnsi="Garamond"/>
          <w:i/>
          <w:iCs/>
          <w:sz w:val="24"/>
          <w:szCs w:val="24"/>
        </w:rPr>
        <w:t>Jefe</w:t>
      </w:r>
      <w:proofErr w:type="gramEnd"/>
      <w:r w:rsidRPr="00535366">
        <w:rPr>
          <w:rFonts w:ascii="Garamond" w:hAnsi="Garamond"/>
          <w:i/>
          <w:iCs/>
          <w:sz w:val="24"/>
          <w:szCs w:val="24"/>
        </w:rPr>
        <w:t xml:space="preserve"> Nacional, o quien éste delegue, el encargado de fijar el monto que le correspondiera a cada trabajador tomando en consideración la evaluación de su desempeño”</w:t>
      </w:r>
      <w:r w:rsidR="005C352E">
        <w:rPr>
          <w:rFonts w:ascii="Garamond" w:hAnsi="Garamond"/>
          <w:i/>
          <w:iCs/>
          <w:sz w:val="24"/>
          <w:szCs w:val="24"/>
        </w:rPr>
        <w:t xml:space="preserve"> (el resaltado es nuestro)</w:t>
      </w:r>
      <w:r w:rsidRPr="00535366">
        <w:rPr>
          <w:rFonts w:ascii="Garamond" w:hAnsi="Garamond"/>
          <w:i/>
          <w:iCs/>
          <w:sz w:val="24"/>
          <w:szCs w:val="24"/>
        </w:rPr>
        <w:t>.</w:t>
      </w:r>
    </w:p>
    <w:p w14:paraId="3E8E081F" w14:textId="282BF661" w:rsidR="00FF789F" w:rsidRPr="00616CF0" w:rsidRDefault="00FF789F" w:rsidP="00774325">
      <w:pPr>
        <w:pStyle w:val="Sinespaciado"/>
        <w:jc w:val="both"/>
        <w:rPr>
          <w:rFonts w:ascii="Garamond" w:hAnsi="Garamond"/>
          <w:sz w:val="24"/>
          <w:szCs w:val="24"/>
        </w:rPr>
      </w:pPr>
      <w:r w:rsidRPr="00616CF0">
        <w:rPr>
          <w:rFonts w:ascii="Garamond" w:hAnsi="Garamond"/>
          <w:sz w:val="24"/>
          <w:szCs w:val="24"/>
        </w:rPr>
        <w:t xml:space="preserve"> </w:t>
      </w:r>
    </w:p>
    <w:p w14:paraId="7EA1AE78" w14:textId="649722C4" w:rsidR="005F4768" w:rsidRPr="00616CF0" w:rsidRDefault="005F4768" w:rsidP="00774325">
      <w:pPr>
        <w:pStyle w:val="Sinespaciado"/>
        <w:jc w:val="both"/>
        <w:rPr>
          <w:rFonts w:ascii="Garamond" w:hAnsi="Garamond"/>
          <w:sz w:val="24"/>
          <w:szCs w:val="24"/>
        </w:rPr>
      </w:pPr>
      <w:r w:rsidRPr="005C2871">
        <w:rPr>
          <w:rFonts w:ascii="Garamond" w:hAnsi="Garamond"/>
          <w:b/>
          <w:bCs/>
          <w:sz w:val="24"/>
          <w:szCs w:val="24"/>
        </w:rPr>
        <w:t>c. Estando vigente la escala remunerativa, el servidor público percibe una remuneración superior a la remuneración mínima e inferior a la remuneración máxima prevista en la escala, pero pretende el pago de la remuneración máxima</w:t>
      </w:r>
      <w:r w:rsidRPr="00616CF0">
        <w:rPr>
          <w:rFonts w:ascii="Garamond" w:hAnsi="Garamond"/>
          <w:sz w:val="24"/>
          <w:szCs w:val="24"/>
        </w:rPr>
        <w:t>.</w:t>
      </w:r>
    </w:p>
    <w:p w14:paraId="48FC1EF3" w14:textId="77777777" w:rsidR="005F4768" w:rsidRPr="00616CF0" w:rsidRDefault="005F4768" w:rsidP="00774325">
      <w:pPr>
        <w:pStyle w:val="Sinespaciado"/>
        <w:jc w:val="both"/>
        <w:rPr>
          <w:rFonts w:ascii="Garamond" w:hAnsi="Garamond"/>
          <w:sz w:val="24"/>
          <w:szCs w:val="24"/>
        </w:rPr>
      </w:pPr>
    </w:p>
    <w:p w14:paraId="2D5F0E97" w14:textId="6DD57B77" w:rsidR="009B1A3E" w:rsidRPr="00616CF0" w:rsidRDefault="00A208DF" w:rsidP="00774325">
      <w:pPr>
        <w:pStyle w:val="Sinespaciado"/>
        <w:jc w:val="both"/>
        <w:rPr>
          <w:rFonts w:ascii="Garamond" w:hAnsi="Garamond"/>
          <w:sz w:val="24"/>
          <w:szCs w:val="24"/>
        </w:rPr>
      </w:pPr>
      <w:r w:rsidRPr="00616CF0">
        <w:rPr>
          <w:rFonts w:ascii="Garamond" w:hAnsi="Garamond"/>
          <w:sz w:val="24"/>
          <w:szCs w:val="24"/>
        </w:rPr>
        <w:t xml:space="preserve">En este supuesto, el servidor público al </w:t>
      </w:r>
      <w:r w:rsidR="00FF18AE" w:rsidRPr="00616CF0">
        <w:rPr>
          <w:rFonts w:ascii="Garamond" w:hAnsi="Garamond"/>
          <w:sz w:val="24"/>
          <w:szCs w:val="24"/>
        </w:rPr>
        <w:t xml:space="preserve">revisar su remuneración con relación a la escala remunerativa observa que es superior a la remuneración mínima, pero inferior a la </w:t>
      </w:r>
      <w:r w:rsidR="00FF18AE" w:rsidRPr="00616CF0">
        <w:rPr>
          <w:rFonts w:ascii="Garamond" w:hAnsi="Garamond"/>
          <w:sz w:val="24"/>
          <w:szCs w:val="24"/>
        </w:rPr>
        <w:lastRenderedPageBreak/>
        <w:t xml:space="preserve">remuneración máxima, </w:t>
      </w:r>
      <w:r w:rsidR="00BD16D1">
        <w:rPr>
          <w:rFonts w:ascii="Garamond" w:hAnsi="Garamond"/>
          <w:sz w:val="24"/>
          <w:szCs w:val="24"/>
        </w:rPr>
        <w:t>caso en el cual</w:t>
      </w:r>
      <w:r w:rsidR="00FF18AE" w:rsidRPr="00616CF0">
        <w:rPr>
          <w:rFonts w:ascii="Garamond" w:hAnsi="Garamond"/>
          <w:sz w:val="24"/>
          <w:szCs w:val="24"/>
        </w:rPr>
        <w:t xml:space="preserve"> deberá acreditar que </w:t>
      </w:r>
      <w:r w:rsidR="00F42450" w:rsidRPr="00616CF0">
        <w:rPr>
          <w:rFonts w:ascii="Garamond" w:hAnsi="Garamond"/>
          <w:sz w:val="24"/>
          <w:szCs w:val="24"/>
        </w:rPr>
        <w:t xml:space="preserve">ya es aplicable a los servidores públicos la </w:t>
      </w:r>
      <w:r w:rsidR="00BD16D1">
        <w:rPr>
          <w:rFonts w:ascii="Garamond" w:hAnsi="Garamond"/>
          <w:sz w:val="24"/>
          <w:szCs w:val="24"/>
        </w:rPr>
        <w:t xml:space="preserve">remuneración máxima prevista en la </w:t>
      </w:r>
      <w:r w:rsidR="00F42450" w:rsidRPr="00616CF0">
        <w:rPr>
          <w:rFonts w:ascii="Garamond" w:hAnsi="Garamond"/>
          <w:sz w:val="24"/>
          <w:szCs w:val="24"/>
        </w:rPr>
        <w:t xml:space="preserve">escala remunerativa. Asimismo, es importante establecer la categoría del servidor público respecto de la cual pretende </w:t>
      </w:r>
      <w:r w:rsidR="004D0101" w:rsidRPr="00616CF0">
        <w:rPr>
          <w:rFonts w:ascii="Garamond" w:hAnsi="Garamond"/>
          <w:sz w:val="24"/>
          <w:szCs w:val="24"/>
        </w:rPr>
        <w:t>su nivelación, como también realizar comparaciones con la escala remunerativa si ostentó vari</w:t>
      </w:r>
      <w:r w:rsidR="00C20C1D" w:rsidRPr="00616CF0">
        <w:rPr>
          <w:rFonts w:ascii="Garamond" w:hAnsi="Garamond"/>
          <w:sz w:val="24"/>
          <w:szCs w:val="24"/>
        </w:rPr>
        <w:t xml:space="preserve">as categorías, derivadas, </w:t>
      </w:r>
      <w:r w:rsidR="00C20C1D" w:rsidRPr="000952D4">
        <w:rPr>
          <w:rFonts w:ascii="Garamond" w:hAnsi="Garamond"/>
          <w:i/>
          <w:iCs/>
          <w:sz w:val="24"/>
          <w:szCs w:val="24"/>
        </w:rPr>
        <w:t>verbi gratia</w:t>
      </w:r>
      <w:r w:rsidR="00C20C1D" w:rsidRPr="00616CF0">
        <w:rPr>
          <w:rFonts w:ascii="Garamond" w:hAnsi="Garamond"/>
          <w:sz w:val="24"/>
          <w:szCs w:val="24"/>
        </w:rPr>
        <w:t xml:space="preserve">, de proceso de ascenso. </w:t>
      </w:r>
    </w:p>
    <w:p w14:paraId="75BDC0C5" w14:textId="77777777" w:rsidR="009B1A3E" w:rsidRPr="00616CF0" w:rsidRDefault="009B1A3E" w:rsidP="00774325">
      <w:pPr>
        <w:pStyle w:val="Sinespaciado"/>
        <w:jc w:val="both"/>
        <w:rPr>
          <w:rFonts w:ascii="Garamond" w:hAnsi="Garamond"/>
          <w:sz w:val="24"/>
          <w:szCs w:val="24"/>
        </w:rPr>
      </w:pPr>
    </w:p>
    <w:p w14:paraId="685B9C22" w14:textId="13A17788" w:rsidR="009E1693" w:rsidRPr="00616CF0" w:rsidRDefault="009B1A3E" w:rsidP="00774325">
      <w:pPr>
        <w:pStyle w:val="Sinespaciado"/>
        <w:jc w:val="both"/>
        <w:rPr>
          <w:rFonts w:ascii="Garamond" w:hAnsi="Garamond"/>
          <w:sz w:val="24"/>
          <w:szCs w:val="24"/>
        </w:rPr>
      </w:pPr>
      <w:r w:rsidRPr="00616CF0">
        <w:rPr>
          <w:rFonts w:ascii="Garamond" w:hAnsi="Garamond"/>
          <w:sz w:val="24"/>
          <w:szCs w:val="24"/>
        </w:rPr>
        <w:t xml:space="preserve">Por otro lado, </w:t>
      </w:r>
      <w:r w:rsidR="003952E4" w:rsidRPr="00616CF0">
        <w:rPr>
          <w:rFonts w:ascii="Garamond" w:hAnsi="Garamond"/>
          <w:sz w:val="24"/>
          <w:szCs w:val="24"/>
        </w:rPr>
        <w:t xml:space="preserve">el servidor público deberá acreditar </w:t>
      </w:r>
      <w:r w:rsidR="0060074E" w:rsidRPr="00616CF0">
        <w:rPr>
          <w:rFonts w:ascii="Garamond" w:hAnsi="Garamond"/>
          <w:sz w:val="24"/>
          <w:szCs w:val="24"/>
        </w:rPr>
        <w:t>cu</w:t>
      </w:r>
      <w:r w:rsidR="00953F0E">
        <w:rPr>
          <w:rFonts w:ascii="Garamond" w:hAnsi="Garamond"/>
          <w:sz w:val="24"/>
          <w:szCs w:val="24"/>
        </w:rPr>
        <w:t>á</w:t>
      </w:r>
      <w:r w:rsidR="0060074E" w:rsidRPr="00616CF0">
        <w:rPr>
          <w:rFonts w:ascii="Garamond" w:hAnsi="Garamond"/>
          <w:sz w:val="24"/>
          <w:szCs w:val="24"/>
        </w:rPr>
        <w:t>l es la categoría o nivel remunerativo en el que se debe otorgar la nivelación remunerativa</w:t>
      </w:r>
      <w:r w:rsidR="00A577CE" w:rsidRPr="00616CF0">
        <w:rPr>
          <w:rFonts w:ascii="Garamond" w:hAnsi="Garamond"/>
          <w:sz w:val="24"/>
          <w:szCs w:val="24"/>
        </w:rPr>
        <w:t>, más aún cuando en su boleta de pago no resulta claro establecer a qu</w:t>
      </w:r>
      <w:r w:rsidR="00C4650A">
        <w:rPr>
          <w:rFonts w:ascii="Garamond" w:hAnsi="Garamond"/>
          <w:sz w:val="24"/>
          <w:szCs w:val="24"/>
        </w:rPr>
        <w:t>é</w:t>
      </w:r>
      <w:r w:rsidR="00A577CE" w:rsidRPr="00616CF0">
        <w:rPr>
          <w:rFonts w:ascii="Garamond" w:hAnsi="Garamond"/>
          <w:sz w:val="24"/>
          <w:szCs w:val="24"/>
        </w:rPr>
        <w:t xml:space="preserve"> nivel o categoría corresponde su cargo.</w:t>
      </w:r>
      <w:r w:rsidR="0060074E" w:rsidRPr="00616CF0">
        <w:rPr>
          <w:rFonts w:ascii="Garamond" w:hAnsi="Garamond"/>
          <w:sz w:val="24"/>
          <w:szCs w:val="24"/>
        </w:rPr>
        <w:t xml:space="preserve"> </w:t>
      </w:r>
      <w:r w:rsidR="009E1693" w:rsidRPr="00616CF0">
        <w:rPr>
          <w:rFonts w:ascii="Garamond" w:hAnsi="Garamond"/>
          <w:sz w:val="24"/>
          <w:szCs w:val="24"/>
        </w:rPr>
        <w:t>En el octavo considerando de la Casación Laboral 18798-2018 Junín (Perú) se indica</w:t>
      </w:r>
    </w:p>
    <w:p w14:paraId="738B98A5" w14:textId="77777777" w:rsidR="00D266B5" w:rsidRPr="00616CF0" w:rsidRDefault="00D266B5" w:rsidP="00774325">
      <w:pPr>
        <w:pStyle w:val="Sinespaciado"/>
        <w:jc w:val="both"/>
        <w:rPr>
          <w:rFonts w:ascii="Garamond" w:hAnsi="Garamond"/>
          <w:sz w:val="24"/>
          <w:szCs w:val="24"/>
        </w:rPr>
      </w:pPr>
    </w:p>
    <w:p w14:paraId="1865224B" w14:textId="1AD656E9" w:rsidR="009E1693" w:rsidRPr="00567FBA" w:rsidRDefault="009E1693" w:rsidP="00774325">
      <w:pPr>
        <w:pStyle w:val="Sinespaciado"/>
        <w:jc w:val="both"/>
        <w:rPr>
          <w:rFonts w:ascii="Garamond" w:hAnsi="Garamond"/>
          <w:i/>
          <w:iCs/>
          <w:sz w:val="24"/>
          <w:szCs w:val="24"/>
        </w:rPr>
      </w:pPr>
      <w:r w:rsidRPr="00567FBA">
        <w:rPr>
          <w:rFonts w:ascii="Garamond" w:hAnsi="Garamond"/>
          <w:i/>
          <w:iCs/>
          <w:sz w:val="24"/>
          <w:szCs w:val="24"/>
        </w:rPr>
        <w:t>“Por otro lado, el juzgador deberá analizar las boletas de remuneraciones del trabajador</w:t>
      </w:r>
      <w:r w:rsidR="00B665F6" w:rsidRPr="00567FBA">
        <w:rPr>
          <w:rFonts w:ascii="Garamond" w:hAnsi="Garamond"/>
          <w:i/>
          <w:iCs/>
          <w:sz w:val="24"/>
          <w:szCs w:val="24"/>
        </w:rPr>
        <w:t>” “</w:t>
      </w:r>
      <w:r w:rsidRPr="00567FBA">
        <w:rPr>
          <w:rFonts w:ascii="Garamond" w:hAnsi="Garamond"/>
          <w:i/>
          <w:iCs/>
          <w:sz w:val="24"/>
          <w:szCs w:val="24"/>
        </w:rPr>
        <w:t xml:space="preserve">a fin de determinar si el puesto de Auxiliar Nivel 7, forma parte de la categoría de Auxiliar II o no, conforme al Manual de Organización de Funciones (MOF); </w:t>
      </w:r>
      <w:r w:rsidRPr="00567FBA">
        <w:rPr>
          <w:rFonts w:ascii="Garamond" w:hAnsi="Garamond"/>
          <w:b/>
          <w:bCs/>
          <w:i/>
          <w:iCs/>
          <w:sz w:val="24"/>
          <w:szCs w:val="24"/>
        </w:rPr>
        <w:t>así como si lo percibido por el trabajador por el periodo comprendido desde el año dos mil once a dos mil diecisiete se encuentra dentro del margen remunerativo (topes mínimos y máximos) permitido entre una categoría y otra</w:t>
      </w:r>
      <w:r w:rsidRPr="00567FBA">
        <w:rPr>
          <w:rFonts w:ascii="Garamond" w:hAnsi="Garamond"/>
          <w:i/>
          <w:iCs/>
          <w:sz w:val="24"/>
          <w:szCs w:val="24"/>
        </w:rPr>
        <w:t>”</w:t>
      </w:r>
      <w:r w:rsidR="00567FBA">
        <w:rPr>
          <w:rFonts w:ascii="Garamond" w:hAnsi="Garamond"/>
          <w:i/>
          <w:iCs/>
          <w:sz w:val="24"/>
          <w:szCs w:val="24"/>
        </w:rPr>
        <w:t xml:space="preserve"> (el resaltado es nuestro)</w:t>
      </w:r>
      <w:r w:rsidRPr="00567FBA">
        <w:rPr>
          <w:rFonts w:ascii="Garamond" w:hAnsi="Garamond"/>
          <w:i/>
          <w:iCs/>
          <w:sz w:val="24"/>
          <w:szCs w:val="24"/>
        </w:rPr>
        <w:t>.</w:t>
      </w:r>
    </w:p>
    <w:p w14:paraId="3DD6EDFD" w14:textId="77777777" w:rsidR="00D266B5" w:rsidRPr="00616CF0" w:rsidRDefault="00D266B5" w:rsidP="00774325">
      <w:pPr>
        <w:pStyle w:val="Sinespaciado"/>
        <w:jc w:val="both"/>
        <w:rPr>
          <w:rFonts w:ascii="Garamond" w:hAnsi="Garamond"/>
          <w:sz w:val="24"/>
          <w:szCs w:val="24"/>
        </w:rPr>
      </w:pPr>
    </w:p>
    <w:p w14:paraId="4B283BFA" w14:textId="36F5BB10" w:rsidR="00A14FC7" w:rsidRPr="00567FBA" w:rsidRDefault="00567FBA" w:rsidP="00774325">
      <w:pPr>
        <w:pStyle w:val="Sinespaciado"/>
        <w:jc w:val="both"/>
        <w:rPr>
          <w:rFonts w:ascii="Garamond" w:hAnsi="Garamond"/>
          <w:b/>
          <w:bCs/>
          <w:sz w:val="24"/>
          <w:szCs w:val="24"/>
        </w:rPr>
      </w:pPr>
      <w:r w:rsidRPr="00567FBA">
        <w:rPr>
          <w:rFonts w:ascii="Garamond" w:hAnsi="Garamond"/>
          <w:b/>
          <w:bCs/>
          <w:sz w:val="24"/>
          <w:szCs w:val="24"/>
        </w:rPr>
        <w:t xml:space="preserve">6. </w:t>
      </w:r>
      <w:r w:rsidR="00A14FC7" w:rsidRPr="00567FBA">
        <w:rPr>
          <w:rFonts w:ascii="Garamond" w:hAnsi="Garamond"/>
          <w:b/>
          <w:bCs/>
          <w:sz w:val="24"/>
          <w:szCs w:val="24"/>
        </w:rPr>
        <w:t>P</w:t>
      </w:r>
      <w:r w:rsidRPr="00567FBA">
        <w:rPr>
          <w:rFonts w:ascii="Garamond" w:hAnsi="Garamond"/>
          <w:b/>
          <w:bCs/>
          <w:sz w:val="24"/>
          <w:szCs w:val="24"/>
        </w:rPr>
        <w:t>rogresividad de los derechos laborales</w:t>
      </w:r>
    </w:p>
    <w:p w14:paraId="79C3BCE0" w14:textId="57AAB827" w:rsidR="00F33CA1" w:rsidRPr="00616CF0" w:rsidRDefault="00667AE8" w:rsidP="00A14FC7">
      <w:pPr>
        <w:pStyle w:val="Sinespaciado"/>
        <w:jc w:val="both"/>
        <w:rPr>
          <w:rFonts w:ascii="Garamond" w:hAnsi="Garamond"/>
          <w:sz w:val="24"/>
          <w:szCs w:val="24"/>
        </w:rPr>
      </w:pPr>
      <w:r w:rsidRPr="00616CF0">
        <w:rPr>
          <w:rFonts w:ascii="Garamond" w:hAnsi="Garamond"/>
          <w:sz w:val="24"/>
          <w:szCs w:val="24"/>
        </w:rPr>
        <w:t xml:space="preserve">La nivelación de remuneración </w:t>
      </w:r>
      <w:r w:rsidR="0039522B" w:rsidRPr="00616CF0">
        <w:rPr>
          <w:rFonts w:ascii="Garamond" w:hAnsi="Garamond"/>
          <w:sz w:val="24"/>
          <w:szCs w:val="24"/>
        </w:rPr>
        <w:t>al referirse a la remuneración como derecho, en caso de alcanzar el acercamiento al to</w:t>
      </w:r>
      <w:r w:rsidR="001479F6">
        <w:rPr>
          <w:rFonts w:ascii="Garamond" w:hAnsi="Garamond"/>
          <w:sz w:val="24"/>
          <w:szCs w:val="24"/>
        </w:rPr>
        <w:t>p</w:t>
      </w:r>
      <w:r w:rsidR="0039522B" w:rsidRPr="00616CF0">
        <w:rPr>
          <w:rFonts w:ascii="Garamond" w:hAnsi="Garamond"/>
          <w:sz w:val="24"/>
          <w:szCs w:val="24"/>
        </w:rPr>
        <w:t>e</w:t>
      </w:r>
      <w:r w:rsidR="00030E32">
        <w:rPr>
          <w:rFonts w:ascii="Garamond" w:hAnsi="Garamond"/>
          <w:sz w:val="24"/>
          <w:szCs w:val="24"/>
        </w:rPr>
        <w:t xml:space="preserve"> como derecho e</w:t>
      </w:r>
      <w:r w:rsidR="00B8298D">
        <w:rPr>
          <w:rFonts w:ascii="Garamond" w:hAnsi="Garamond"/>
          <w:sz w:val="24"/>
          <w:szCs w:val="24"/>
        </w:rPr>
        <w:t>x</w:t>
      </w:r>
      <w:r w:rsidR="00030E32">
        <w:rPr>
          <w:rFonts w:ascii="Garamond" w:hAnsi="Garamond"/>
          <w:sz w:val="24"/>
          <w:szCs w:val="24"/>
        </w:rPr>
        <w:t>pectati</w:t>
      </w:r>
      <w:r w:rsidR="00B8298D">
        <w:rPr>
          <w:rFonts w:ascii="Garamond" w:hAnsi="Garamond"/>
          <w:sz w:val="24"/>
          <w:szCs w:val="24"/>
        </w:rPr>
        <w:t>cio</w:t>
      </w:r>
      <w:r w:rsidR="003F6721">
        <w:rPr>
          <w:rFonts w:ascii="Garamond" w:hAnsi="Garamond"/>
          <w:sz w:val="24"/>
          <w:szCs w:val="24"/>
        </w:rPr>
        <w:t xml:space="preserve"> (</w:t>
      </w:r>
      <w:proofErr w:type="spellStart"/>
      <w:r w:rsidR="003F6721" w:rsidRPr="003F6721">
        <w:rPr>
          <w:rFonts w:ascii="Garamond" w:hAnsi="Garamond"/>
          <w:i/>
          <w:iCs/>
          <w:sz w:val="24"/>
          <w:szCs w:val="24"/>
        </w:rPr>
        <w:t>droits</w:t>
      </w:r>
      <w:proofErr w:type="spellEnd"/>
      <w:r w:rsidR="003F6721" w:rsidRPr="003F6721">
        <w:rPr>
          <w:rFonts w:ascii="Garamond" w:hAnsi="Garamond"/>
          <w:i/>
          <w:iCs/>
          <w:sz w:val="24"/>
          <w:szCs w:val="24"/>
        </w:rPr>
        <w:t xml:space="preserve"> </w:t>
      </w:r>
      <w:proofErr w:type="spellStart"/>
      <w:r w:rsidR="003F6721" w:rsidRPr="003F6721">
        <w:rPr>
          <w:rFonts w:ascii="Garamond" w:hAnsi="Garamond"/>
          <w:i/>
          <w:iCs/>
          <w:sz w:val="24"/>
          <w:szCs w:val="24"/>
        </w:rPr>
        <w:t>éventuels</w:t>
      </w:r>
      <w:proofErr w:type="spellEnd"/>
      <w:r w:rsidR="003F6721">
        <w:rPr>
          <w:rFonts w:ascii="Garamond" w:hAnsi="Garamond"/>
          <w:sz w:val="24"/>
          <w:szCs w:val="24"/>
        </w:rPr>
        <w:t>)</w:t>
      </w:r>
      <w:r w:rsidR="0039522B" w:rsidRPr="00616CF0">
        <w:rPr>
          <w:rFonts w:ascii="Garamond" w:hAnsi="Garamond"/>
          <w:sz w:val="24"/>
          <w:szCs w:val="24"/>
        </w:rPr>
        <w:t xml:space="preserve">, se sustenta en el principio de irrenunciabilidad de </w:t>
      </w:r>
      <w:r w:rsidR="00B9766F">
        <w:rPr>
          <w:rFonts w:ascii="Garamond" w:hAnsi="Garamond"/>
          <w:sz w:val="24"/>
          <w:szCs w:val="24"/>
        </w:rPr>
        <w:t xml:space="preserve">los </w:t>
      </w:r>
      <w:r w:rsidR="0039522B" w:rsidRPr="00616CF0">
        <w:rPr>
          <w:rFonts w:ascii="Garamond" w:hAnsi="Garamond"/>
          <w:sz w:val="24"/>
          <w:szCs w:val="24"/>
        </w:rPr>
        <w:t>derechos</w:t>
      </w:r>
      <w:r w:rsidR="00B9766F">
        <w:rPr>
          <w:rFonts w:ascii="Garamond" w:hAnsi="Garamond"/>
          <w:sz w:val="24"/>
          <w:szCs w:val="24"/>
        </w:rPr>
        <w:t xml:space="preserve"> laborales</w:t>
      </w:r>
      <w:r w:rsidR="0039522B" w:rsidRPr="00616CF0">
        <w:rPr>
          <w:rFonts w:ascii="Garamond" w:hAnsi="Garamond"/>
          <w:sz w:val="24"/>
          <w:szCs w:val="24"/>
        </w:rPr>
        <w:t xml:space="preserve">, que </w:t>
      </w:r>
      <w:r w:rsidR="00ED1008" w:rsidRPr="00616CF0">
        <w:rPr>
          <w:rFonts w:ascii="Garamond" w:hAnsi="Garamond"/>
          <w:sz w:val="24"/>
          <w:szCs w:val="24"/>
        </w:rPr>
        <w:t xml:space="preserve">fundamenta el principio de intangibilidad de </w:t>
      </w:r>
      <w:r w:rsidR="00B9766F">
        <w:rPr>
          <w:rFonts w:ascii="Garamond" w:hAnsi="Garamond"/>
          <w:sz w:val="24"/>
          <w:szCs w:val="24"/>
        </w:rPr>
        <w:t>la remuneración</w:t>
      </w:r>
      <w:r w:rsidR="008B53BB" w:rsidRPr="00616CF0">
        <w:rPr>
          <w:rFonts w:ascii="Garamond" w:hAnsi="Garamond"/>
          <w:sz w:val="24"/>
          <w:szCs w:val="24"/>
        </w:rPr>
        <w:t>; por su parte, habi</w:t>
      </w:r>
      <w:r w:rsidR="00151970">
        <w:rPr>
          <w:rFonts w:ascii="Garamond" w:hAnsi="Garamond"/>
          <w:sz w:val="24"/>
          <w:szCs w:val="24"/>
        </w:rPr>
        <w:t>é</w:t>
      </w:r>
      <w:r w:rsidR="008B53BB" w:rsidRPr="00616CF0">
        <w:rPr>
          <w:rFonts w:ascii="Garamond" w:hAnsi="Garamond"/>
          <w:sz w:val="24"/>
          <w:szCs w:val="24"/>
        </w:rPr>
        <w:t>ndo</w:t>
      </w:r>
      <w:r w:rsidR="00B9766F">
        <w:rPr>
          <w:rFonts w:ascii="Garamond" w:hAnsi="Garamond"/>
          <w:sz w:val="24"/>
          <w:szCs w:val="24"/>
        </w:rPr>
        <w:t>se</w:t>
      </w:r>
      <w:r w:rsidR="008B53BB" w:rsidRPr="00616CF0">
        <w:rPr>
          <w:rFonts w:ascii="Garamond" w:hAnsi="Garamond"/>
          <w:sz w:val="24"/>
          <w:szCs w:val="24"/>
        </w:rPr>
        <w:t xml:space="preserve"> incrementado la remuneración del servidor como consecuencia de un proceso de nivelación en mérito a la aplicación de una escala remunerativa</w:t>
      </w:r>
      <w:r w:rsidR="007629DD" w:rsidRPr="00616CF0">
        <w:rPr>
          <w:rFonts w:ascii="Garamond" w:hAnsi="Garamond"/>
          <w:sz w:val="24"/>
          <w:szCs w:val="24"/>
        </w:rPr>
        <w:t xml:space="preserve">, la entidad pública no podría reducir unilateralmente la remuneración, puesto esto contravendría también el principio de progresividad de </w:t>
      </w:r>
      <w:r w:rsidR="00F33CA1" w:rsidRPr="00616CF0">
        <w:rPr>
          <w:rFonts w:ascii="Garamond" w:hAnsi="Garamond"/>
          <w:sz w:val="24"/>
          <w:szCs w:val="24"/>
        </w:rPr>
        <w:t>los derechos laborales, esto es, los derechos laborales evolucionan, no involucionan.</w:t>
      </w:r>
    </w:p>
    <w:p w14:paraId="3394C6A8" w14:textId="77777777" w:rsidR="00764F7D" w:rsidRPr="00616CF0" w:rsidRDefault="00764F7D" w:rsidP="00A14FC7">
      <w:pPr>
        <w:pStyle w:val="Sinespaciado"/>
        <w:jc w:val="both"/>
        <w:rPr>
          <w:rFonts w:ascii="Garamond" w:hAnsi="Garamond"/>
          <w:sz w:val="24"/>
          <w:szCs w:val="24"/>
        </w:rPr>
      </w:pPr>
    </w:p>
    <w:p w14:paraId="532DA2E0" w14:textId="1278A3BB" w:rsidR="004C39A9" w:rsidRPr="00616CF0" w:rsidRDefault="00764F7D" w:rsidP="00A14FC7">
      <w:pPr>
        <w:pStyle w:val="Sinespaciado"/>
        <w:jc w:val="both"/>
        <w:rPr>
          <w:rFonts w:ascii="Garamond" w:hAnsi="Garamond"/>
          <w:sz w:val="24"/>
          <w:szCs w:val="24"/>
        </w:rPr>
      </w:pPr>
      <w:r w:rsidRPr="00616CF0">
        <w:rPr>
          <w:rFonts w:ascii="Garamond" w:hAnsi="Garamond"/>
          <w:sz w:val="24"/>
          <w:szCs w:val="24"/>
        </w:rPr>
        <w:t xml:space="preserve">Magela </w:t>
      </w:r>
      <w:r w:rsidR="00F450FF" w:rsidRPr="00616CF0">
        <w:rPr>
          <w:rFonts w:ascii="Garamond" w:hAnsi="Garamond"/>
          <w:sz w:val="24"/>
          <w:szCs w:val="24"/>
        </w:rPr>
        <w:t>Melo (</w:t>
      </w:r>
      <w:r w:rsidR="0044681F" w:rsidRPr="00616CF0">
        <w:rPr>
          <w:rFonts w:ascii="Garamond" w:hAnsi="Garamond"/>
          <w:sz w:val="24"/>
          <w:szCs w:val="24"/>
        </w:rPr>
        <w:t>2010</w:t>
      </w:r>
      <w:r w:rsidR="00F450FF" w:rsidRPr="00616CF0">
        <w:rPr>
          <w:rFonts w:ascii="Garamond" w:hAnsi="Garamond"/>
          <w:sz w:val="24"/>
          <w:szCs w:val="24"/>
        </w:rPr>
        <w:t xml:space="preserve">) </w:t>
      </w:r>
      <w:r w:rsidR="00C363D8" w:rsidRPr="00616CF0">
        <w:rPr>
          <w:rFonts w:ascii="Garamond" w:hAnsi="Garamond"/>
          <w:sz w:val="24"/>
          <w:szCs w:val="24"/>
        </w:rPr>
        <w:t xml:space="preserve">sobre el principio de progresividad de los </w:t>
      </w:r>
      <w:r w:rsidR="0020754E" w:rsidRPr="00616CF0">
        <w:rPr>
          <w:rFonts w:ascii="Garamond" w:hAnsi="Garamond"/>
          <w:sz w:val="24"/>
          <w:szCs w:val="24"/>
        </w:rPr>
        <w:t xml:space="preserve">derechos fundamentales indica </w:t>
      </w:r>
      <w:r w:rsidR="00951EC0" w:rsidRPr="00616CF0">
        <w:rPr>
          <w:rFonts w:ascii="Garamond" w:hAnsi="Garamond"/>
          <w:sz w:val="24"/>
          <w:szCs w:val="24"/>
        </w:rPr>
        <w:t>que “tal principio alude a la idea de que el Estado</w:t>
      </w:r>
      <w:r w:rsidR="00CB3D8C" w:rsidRPr="00616CF0">
        <w:rPr>
          <w:rFonts w:ascii="Garamond" w:hAnsi="Garamond"/>
          <w:sz w:val="24"/>
          <w:szCs w:val="24"/>
        </w:rPr>
        <w:t>, después de haber implementado un derecho fundamental, no puede retroceder</w:t>
      </w:r>
      <w:r w:rsidR="00225942" w:rsidRPr="00616CF0">
        <w:rPr>
          <w:rFonts w:ascii="Garamond" w:hAnsi="Garamond"/>
          <w:sz w:val="24"/>
          <w:szCs w:val="24"/>
        </w:rPr>
        <w:t xml:space="preserve">, o sea, no puede practicar algún acto que vulnere un derecho que </w:t>
      </w:r>
      <w:r w:rsidR="00EE5A5C" w:rsidRPr="00616CF0">
        <w:rPr>
          <w:rFonts w:ascii="Garamond" w:hAnsi="Garamond"/>
          <w:sz w:val="24"/>
          <w:szCs w:val="24"/>
        </w:rPr>
        <w:t>estaba pasible de disfrutar</w:t>
      </w:r>
      <w:r w:rsidR="004C39A9" w:rsidRPr="00616CF0">
        <w:rPr>
          <w:rFonts w:ascii="Garamond" w:hAnsi="Garamond"/>
          <w:sz w:val="24"/>
          <w:szCs w:val="24"/>
        </w:rPr>
        <w:t>, sin que haya una medida compensatoria efectiva correspondiente”</w:t>
      </w:r>
      <w:r w:rsidR="0044681F" w:rsidRPr="00616CF0">
        <w:rPr>
          <w:rStyle w:val="Refdenotaalpie"/>
          <w:rFonts w:ascii="Garamond" w:hAnsi="Garamond"/>
          <w:sz w:val="24"/>
          <w:szCs w:val="24"/>
        </w:rPr>
        <w:footnoteReference w:id="3"/>
      </w:r>
      <w:r w:rsidR="004C39A9" w:rsidRPr="00616CF0">
        <w:rPr>
          <w:rFonts w:ascii="Garamond" w:hAnsi="Garamond"/>
          <w:sz w:val="24"/>
          <w:szCs w:val="24"/>
        </w:rPr>
        <w:t>.</w:t>
      </w:r>
    </w:p>
    <w:p w14:paraId="3DAF7202" w14:textId="77777777" w:rsidR="00816607" w:rsidRPr="00616CF0" w:rsidRDefault="00816607" w:rsidP="00A14FC7">
      <w:pPr>
        <w:pStyle w:val="Sinespaciado"/>
        <w:jc w:val="both"/>
        <w:rPr>
          <w:rFonts w:ascii="Garamond" w:hAnsi="Garamond"/>
          <w:sz w:val="24"/>
          <w:szCs w:val="24"/>
        </w:rPr>
      </w:pPr>
    </w:p>
    <w:p w14:paraId="64E0DF3B" w14:textId="29AE4004" w:rsidR="00A14FC7" w:rsidRPr="00616CF0" w:rsidRDefault="00CD4B18" w:rsidP="00A14FC7">
      <w:pPr>
        <w:pStyle w:val="Sinespaciado"/>
        <w:jc w:val="both"/>
        <w:rPr>
          <w:rFonts w:ascii="Garamond" w:hAnsi="Garamond"/>
          <w:sz w:val="24"/>
          <w:szCs w:val="24"/>
        </w:rPr>
      </w:pPr>
      <w:r w:rsidRPr="00616CF0">
        <w:rPr>
          <w:rFonts w:ascii="Garamond" w:hAnsi="Garamond"/>
          <w:sz w:val="24"/>
          <w:szCs w:val="24"/>
        </w:rPr>
        <w:t xml:space="preserve">De esta manera, iniciado el proceso de </w:t>
      </w:r>
      <w:r w:rsidR="00A67C49" w:rsidRPr="00616CF0">
        <w:rPr>
          <w:rFonts w:ascii="Garamond" w:hAnsi="Garamond"/>
          <w:sz w:val="24"/>
          <w:szCs w:val="24"/>
        </w:rPr>
        <w:t>nivelación de remuneraciones por la entidad pública, no es posible retroceder, practicando un acto que vul</w:t>
      </w:r>
      <w:r w:rsidR="000749DA" w:rsidRPr="00616CF0">
        <w:rPr>
          <w:rFonts w:ascii="Garamond" w:hAnsi="Garamond"/>
          <w:sz w:val="24"/>
          <w:szCs w:val="24"/>
        </w:rPr>
        <w:t>nere el derecho laboral reconocido</w:t>
      </w:r>
      <w:r w:rsidR="0069577C" w:rsidRPr="00616CF0">
        <w:rPr>
          <w:rFonts w:ascii="Garamond" w:hAnsi="Garamond"/>
          <w:sz w:val="24"/>
          <w:szCs w:val="24"/>
        </w:rPr>
        <w:t xml:space="preserve">. </w:t>
      </w:r>
      <w:r w:rsidR="00A14FC7" w:rsidRPr="00616CF0">
        <w:rPr>
          <w:rFonts w:ascii="Garamond" w:hAnsi="Garamond"/>
          <w:sz w:val="24"/>
          <w:szCs w:val="24"/>
        </w:rPr>
        <w:t xml:space="preserve">En séptimo considerando de la Casación Laboral 10218-2019 Lima (Perú) se indica </w:t>
      </w:r>
    </w:p>
    <w:p w14:paraId="21E0C343" w14:textId="77777777" w:rsidR="00A14FC7" w:rsidRPr="00616CF0" w:rsidRDefault="00A14FC7" w:rsidP="00A14FC7">
      <w:pPr>
        <w:pStyle w:val="Sinespaciado"/>
        <w:jc w:val="both"/>
        <w:rPr>
          <w:rFonts w:ascii="Garamond" w:hAnsi="Garamond"/>
          <w:sz w:val="24"/>
          <w:szCs w:val="24"/>
        </w:rPr>
      </w:pPr>
    </w:p>
    <w:p w14:paraId="46AF993C" w14:textId="555F127F" w:rsidR="00A14FC7" w:rsidRPr="00FB7E40" w:rsidRDefault="00A14FC7" w:rsidP="00A14FC7">
      <w:pPr>
        <w:pStyle w:val="Sinespaciado"/>
        <w:jc w:val="both"/>
        <w:rPr>
          <w:rFonts w:ascii="Garamond" w:hAnsi="Garamond"/>
          <w:i/>
          <w:iCs/>
          <w:sz w:val="24"/>
          <w:szCs w:val="24"/>
        </w:rPr>
      </w:pPr>
      <w:r w:rsidRPr="00FB7E40">
        <w:rPr>
          <w:rFonts w:ascii="Garamond" w:hAnsi="Garamond"/>
          <w:i/>
          <w:iCs/>
          <w:sz w:val="24"/>
          <w:szCs w:val="24"/>
        </w:rPr>
        <w:t xml:space="preserve">“Estando al sustento de la infracción por la que se cuestiona el reconocimiento de un aumento remunerativo al demandante en virtud del nivel ocupacional reconocido, la Sala ha cumplido con efectuar un análisis de la pretendida nivelación de remuneraciones bajo el marco normativo del Decreto Supremo N. 198-2004-EF que aprueba la escala remunerativa del Registro Nacional de Identificación y Estado Civil - RENIEC de acuerdo al Anexo que forma parte de dicho Decreto Supremo, y </w:t>
      </w:r>
      <w:r w:rsidRPr="00793B77">
        <w:rPr>
          <w:rFonts w:ascii="Garamond" w:hAnsi="Garamond"/>
          <w:b/>
          <w:bCs/>
          <w:i/>
          <w:iCs/>
          <w:sz w:val="24"/>
          <w:szCs w:val="24"/>
        </w:rPr>
        <w:t xml:space="preserve">del principio de progresividad y no regresividad que regulan los derechos laborales, a partir del status laboral </w:t>
      </w:r>
      <w:r w:rsidRPr="00793B77">
        <w:rPr>
          <w:rFonts w:ascii="Garamond" w:hAnsi="Garamond"/>
          <w:b/>
          <w:bCs/>
          <w:i/>
          <w:iCs/>
          <w:sz w:val="24"/>
          <w:szCs w:val="24"/>
        </w:rPr>
        <w:lastRenderedPageBreak/>
        <w:t>reconocido al demandante, determinando que le corresponde a este como remuneración mensual el importe máximo previsto en la escala remunerativa de la demandada entonces vigente</w:t>
      </w:r>
      <w:r w:rsidRPr="00FB7E40">
        <w:rPr>
          <w:rFonts w:ascii="Garamond" w:hAnsi="Garamond"/>
          <w:i/>
          <w:iCs/>
          <w:sz w:val="24"/>
          <w:szCs w:val="24"/>
        </w:rPr>
        <w:t>”</w:t>
      </w:r>
      <w:r w:rsidR="00793B77">
        <w:rPr>
          <w:rFonts w:ascii="Garamond" w:hAnsi="Garamond"/>
          <w:i/>
          <w:iCs/>
          <w:sz w:val="24"/>
          <w:szCs w:val="24"/>
        </w:rPr>
        <w:t xml:space="preserve"> (el resaltado es nuestro)</w:t>
      </w:r>
    </w:p>
    <w:p w14:paraId="4B144D28" w14:textId="77777777" w:rsidR="00A14FC7" w:rsidRPr="00616CF0" w:rsidRDefault="00A14FC7" w:rsidP="00774325">
      <w:pPr>
        <w:pStyle w:val="Sinespaciado"/>
        <w:jc w:val="both"/>
        <w:rPr>
          <w:rFonts w:ascii="Garamond" w:hAnsi="Garamond"/>
          <w:sz w:val="24"/>
          <w:szCs w:val="24"/>
        </w:rPr>
      </w:pPr>
    </w:p>
    <w:p w14:paraId="24C70FFD" w14:textId="7CDEF26A" w:rsidR="00B91157" w:rsidRPr="00793B77" w:rsidRDefault="00793B77" w:rsidP="00774325">
      <w:pPr>
        <w:pStyle w:val="Sinespaciado"/>
        <w:jc w:val="both"/>
        <w:rPr>
          <w:rFonts w:ascii="Garamond" w:hAnsi="Garamond"/>
          <w:b/>
          <w:bCs/>
          <w:sz w:val="24"/>
          <w:szCs w:val="24"/>
        </w:rPr>
      </w:pPr>
      <w:r w:rsidRPr="00793B77">
        <w:rPr>
          <w:rFonts w:ascii="Garamond" w:hAnsi="Garamond"/>
          <w:b/>
          <w:bCs/>
          <w:sz w:val="24"/>
          <w:szCs w:val="24"/>
        </w:rPr>
        <w:t xml:space="preserve">7. </w:t>
      </w:r>
      <w:r w:rsidR="00007BFF" w:rsidRPr="00793B77">
        <w:rPr>
          <w:rFonts w:ascii="Garamond" w:hAnsi="Garamond"/>
          <w:b/>
          <w:bCs/>
          <w:sz w:val="24"/>
          <w:szCs w:val="24"/>
        </w:rPr>
        <w:t>C</w:t>
      </w:r>
      <w:r w:rsidRPr="00793B77">
        <w:rPr>
          <w:rFonts w:ascii="Garamond" w:hAnsi="Garamond"/>
          <w:b/>
          <w:bCs/>
          <w:sz w:val="24"/>
          <w:szCs w:val="24"/>
        </w:rPr>
        <w:t xml:space="preserve">arga </w:t>
      </w:r>
      <w:r w:rsidR="00095794">
        <w:rPr>
          <w:rFonts w:ascii="Garamond" w:hAnsi="Garamond"/>
          <w:b/>
          <w:bCs/>
          <w:sz w:val="24"/>
          <w:szCs w:val="24"/>
        </w:rPr>
        <w:t>de la prueba</w:t>
      </w:r>
    </w:p>
    <w:p w14:paraId="6F0908E2" w14:textId="24B21218" w:rsidR="009E1693" w:rsidRPr="00616CF0" w:rsidRDefault="00007BFF" w:rsidP="00774325">
      <w:pPr>
        <w:pStyle w:val="Sinespaciado"/>
        <w:jc w:val="both"/>
        <w:rPr>
          <w:rFonts w:ascii="Garamond" w:hAnsi="Garamond"/>
          <w:sz w:val="24"/>
          <w:szCs w:val="24"/>
        </w:rPr>
      </w:pPr>
      <w:r w:rsidRPr="00616CF0">
        <w:rPr>
          <w:rFonts w:ascii="Garamond" w:hAnsi="Garamond"/>
          <w:sz w:val="24"/>
          <w:szCs w:val="24"/>
        </w:rPr>
        <w:t>La existencia de una escala remunerativa que establece remuneraciones máximas por categoría o cargo</w:t>
      </w:r>
      <w:r w:rsidR="00FF59CC" w:rsidRPr="00616CF0">
        <w:rPr>
          <w:rFonts w:ascii="Garamond" w:hAnsi="Garamond"/>
          <w:sz w:val="24"/>
          <w:szCs w:val="24"/>
        </w:rPr>
        <w:t>, no otorga el derecho automático para percibir los montos fijados como tope</w:t>
      </w:r>
      <w:r w:rsidR="00B77266" w:rsidRPr="00616CF0">
        <w:rPr>
          <w:rFonts w:ascii="Garamond" w:hAnsi="Garamond"/>
          <w:sz w:val="24"/>
          <w:szCs w:val="24"/>
        </w:rPr>
        <w:t xml:space="preserve">, siendo que su remuneración deberá </w:t>
      </w:r>
      <w:r w:rsidR="00B445DD" w:rsidRPr="00616CF0">
        <w:rPr>
          <w:rFonts w:ascii="Garamond" w:hAnsi="Garamond"/>
          <w:sz w:val="24"/>
          <w:szCs w:val="24"/>
        </w:rPr>
        <w:t xml:space="preserve">oscilar en su rango </w:t>
      </w:r>
      <w:r w:rsidR="002D4675">
        <w:rPr>
          <w:rFonts w:ascii="Garamond" w:hAnsi="Garamond"/>
          <w:sz w:val="24"/>
          <w:szCs w:val="24"/>
        </w:rPr>
        <w:t>remunerativo</w:t>
      </w:r>
      <w:r w:rsidR="003E03D5" w:rsidRPr="00616CF0">
        <w:rPr>
          <w:rFonts w:ascii="Garamond" w:hAnsi="Garamond"/>
          <w:sz w:val="24"/>
          <w:szCs w:val="24"/>
        </w:rPr>
        <w:t xml:space="preserve">; en el caso </w:t>
      </w:r>
      <w:r w:rsidR="003270AB">
        <w:rPr>
          <w:rFonts w:ascii="Garamond" w:hAnsi="Garamond"/>
          <w:sz w:val="24"/>
          <w:szCs w:val="24"/>
        </w:rPr>
        <w:t xml:space="preserve">de </w:t>
      </w:r>
      <w:r w:rsidR="003E03D5" w:rsidRPr="00616CF0">
        <w:rPr>
          <w:rFonts w:ascii="Garamond" w:hAnsi="Garamond"/>
          <w:sz w:val="24"/>
          <w:szCs w:val="24"/>
        </w:rPr>
        <w:t>que el servidor alegue el derecho a percibir el máximo o tope remunerativo</w:t>
      </w:r>
      <w:r w:rsidR="00CD287E" w:rsidRPr="00616CF0">
        <w:rPr>
          <w:rFonts w:ascii="Garamond" w:hAnsi="Garamond"/>
          <w:sz w:val="24"/>
          <w:szCs w:val="24"/>
        </w:rPr>
        <w:t xml:space="preserve">, tendrá la carga de la prueba </w:t>
      </w:r>
      <w:r w:rsidR="00AB2B60" w:rsidRPr="00616CF0">
        <w:rPr>
          <w:rFonts w:ascii="Garamond" w:hAnsi="Garamond"/>
          <w:sz w:val="24"/>
          <w:szCs w:val="24"/>
        </w:rPr>
        <w:t>(</w:t>
      </w:r>
      <w:proofErr w:type="spellStart"/>
      <w:r w:rsidR="00AB2B60" w:rsidRPr="001E229B">
        <w:rPr>
          <w:rFonts w:ascii="Garamond" w:hAnsi="Garamond"/>
          <w:i/>
          <w:iCs/>
          <w:sz w:val="24"/>
          <w:szCs w:val="24"/>
        </w:rPr>
        <w:t>onere</w:t>
      </w:r>
      <w:proofErr w:type="spellEnd"/>
      <w:r w:rsidR="00AB2B60" w:rsidRPr="001E229B">
        <w:rPr>
          <w:rFonts w:ascii="Garamond" w:hAnsi="Garamond"/>
          <w:i/>
          <w:iCs/>
          <w:sz w:val="24"/>
          <w:szCs w:val="24"/>
        </w:rPr>
        <w:t xml:space="preserve"> della </w:t>
      </w:r>
      <w:proofErr w:type="spellStart"/>
      <w:r w:rsidR="00AB2B60" w:rsidRPr="001E229B">
        <w:rPr>
          <w:rFonts w:ascii="Garamond" w:hAnsi="Garamond"/>
          <w:i/>
          <w:iCs/>
          <w:sz w:val="24"/>
          <w:szCs w:val="24"/>
        </w:rPr>
        <w:t>prova</w:t>
      </w:r>
      <w:proofErr w:type="spellEnd"/>
      <w:r w:rsidR="00AB2B60" w:rsidRPr="001E229B">
        <w:rPr>
          <w:rFonts w:ascii="Garamond" w:hAnsi="Garamond"/>
          <w:sz w:val="24"/>
          <w:szCs w:val="24"/>
        </w:rPr>
        <w:t>)</w:t>
      </w:r>
      <w:r w:rsidR="00AB2B60" w:rsidRPr="00616CF0">
        <w:rPr>
          <w:rFonts w:ascii="Garamond" w:hAnsi="Garamond"/>
          <w:b/>
          <w:bCs/>
          <w:sz w:val="24"/>
          <w:szCs w:val="24"/>
        </w:rPr>
        <w:t xml:space="preserve"> </w:t>
      </w:r>
      <w:r w:rsidR="00CD287E" w:rsidRPr="00616CF0">
        <w:rPr>
          <w:rFonts w:ascii="Garamond" w:hAnsi="Garamond"/>
          <w:sz w:val="24"/>
          <w:szCs w:val="24"/>
        </w:rPr>
        <w:t xml:space="preserve">de acreditar que la escala en sus montos máximos ya son aplicados por la entidad o que </w:t>
      </w:r>
      <w:r w:rsidR="001F1D22" w:rsidRPr="00616CF0">
        <w:rPr>
          <w:rFonts w:ascii="Garamond" w:hAnsi="Garamond"/>
          <w:sz w:val="24"/>
          <w:szCs w:val="24"/>
        </w:rPr>
        <w:t xml:space="preserve">existe la disposición de otorgar a los servidores el tope previsto. </w:t>
      </w:r>
      <w:r w:rsidR="009E1693" w:rsidRPr="00616CF0">
        <w:rPr>
          <w:rFonts w:ascii="Garamond" w:hAnsi="Garamond"/>
          <w:sz w:val="24"/>
          <w:szCs w:val="24"/>
        </w:rPr>
        <w:t xml:space="preserve">En la sumilla de la Casación Laboral 10218-2019 Lima (Perú) se indica </w:t>
      </w:r>
    </w:p>
    <w:p w14:paraId="1D2A44DE" w14:textId="77777777" w:rsidR="00B91157" w:rsidRPr="00616CF0" w:rsidRDefault="00B91157" w:rsidP="00774325">
      <w:pPr>
        <w:pStyle w:val="Sinespaciado"/>
        <w:jc w:val="both"/>
        <w:rPr>
          <w:rFonts w:ascii="Garamond" w:hAnsi="Garamond"/>
          <w:sz w:val="24"/>
          <w:szCs w:val="24"/>
        </w:rPr>
      </w:pPr>
    </w:p>
    <w:p w14:paraId="692BB971" w14:textId="2D462383" w:rsidR="009E1693" w:rsidRDefault="009E1693" w:rsidP="00774325">
      <w:pPr>
        <w:pStyle w:val="Sinespaciado"/>
        <w:jc w:val="both"/>
        <w:rPr>
          <w:rFonts w:ascii="Garamond" w:hAnsi="Garamond"/>
          <w:sz w:val="24"/>
          <w:szCs w:val="24"/>
        </w:rPr>
      </w:pPr>
      <w:r w:rsidRPr="002F052A">
        <w:rPr>
          <w:rFonts w:ascii="Garamond" w:hAnsi="Garamond"/>
          <w:i/>
          <w:iCs/>
          <w:sz w:val="24"/>
          <w:szCs w:val="24"/>
        </w:rPr>
        <w:t xml:space="preserve">“La política remunerativa por la que se establecen remuneraciones máximas por categoría o cargo en la estructura organizacional de la entidad, no genera para el trabajador un derecho automático a percibir los montos fijados como tope, sino que la remuneración asignada puede oscilar en el rango salarial previsto, </w:t>
      </w:r>
      <w:r w:rsidRPr="002F052A">
        <w:rPr>
          <w:rFonts w:ascii="Garamond" w:hAnsi="Garamond"/>
          <w:b/>
          <w:bCs/>
          <w:i/>
          <w:iCs/>
          <w:sz w:val="24"/>
          <w:szCs w:val="24"/>
        </w:rPr>
        <w:t>salvo prueba en contrario de quien exige el derecho</w:t>
      </w:r>
      <w:r w:rsidRPr="002F052A">
        <w:rPr>
          <w:rFonts w:ascii="Garamond" w:hAnsi="Garamond"/>
          <w:i/>
          <w:iCs/>
          <w:sz w:val="24"/>
          <w:szCs w:val="24"/>
        </w:rPr>
        <w:t>”</w:t>
      </w:r>
      <w:r w:rsidR="002F052A">
        <w:rPr>
          <w:rFonts w:ascii="Garamond" w:hAnsi="Garamond"/>
          <w:i/>
          <w:iCs/>
          <w:sz w:val="24"/>
          <w:szCs w:val="24"/>
        </w:rPr>
        <w:t xml:space="preserve"> (el resaltado es nuestro)</w:t>
      </w:r>
      <w:r w:rsidRPr="00616CF0">
        <w:rPr>
          <w:rFonts w:ascii="Garamond" w:hAnsi="Garamond"/>
          <w:sz w:val="24"/>
          <w:szCs w:val="24"/>
        </w:rPr>
        <w:t>.</w:t>
      </w:r>
    </w:p>
    <w:p w14:paraId="344EE59A" w14:textId="77777777" w:rsidR="002F052A" w:rsidRDefault="002F052A" w:rsidP="00774325">
      <w:pPr>
        <w:pStyle w:val="Sinespaciado"/>
        <w:jc w:val="both"/>
        <w:rPr>
          <w:rFonts w:ascii="Garamond" w:hAnsi="Garamond"/>
          <w:sz w:val="24"/>
          <w:szCs w:val="24"/>
        </w:rPr>
      </w:pPr>
    </w:p>
    <w:p w14:paraId="74FEFE01" w14:textId="63A9F119" w:rsidR="002F052A" w:rsidRPr="005460A2" w:rsidRDefault="002F052A" w:rsidP="00774325">
      <w:pPr>
        <w:pStyle w:val="Sinespaciado"/>
        <w:jc w:val="both"/>
        <w:rPr>
          <w:rFonts w:ascii="Garamond" w:hAnsi="Garamond"/>
          <w:b/>
          <w:bCs/>
          <w:sz w:val="24"/>
          <w:szCs w:val="24"/>
        </w:rPr>
      </w:pPr>
      <w:r w:rsidRPr="005460A2">
        <w:rPr>
          <w:rFonts w:ascii="Garamond" w:hAnsi="Garamond"/>
          <w:b/>
          <w:bCs/>
          <w:sz w:val="24"/>
          <w:szCs w:val="24"/>
        </w:rPr>
        <w:t>Conclusiones</w:t>
      </w:r>
    </w:p>
    <w:p w14:paraId="3819A26D" w14:textId="395A241E" w:rsidR="00B91157" w:rsidRDefault="003459A3" w:rsidP="00774325">
      <w:pPr>
        <w:pStyle w:val="Sinespaciado"/>
        <w:jc w:val="both"/>
        <w:rPr>
          <w:rFonts w:ascii="Garamond" w:hAnsi="Garamond"/>
          <w:sz w:val="24"/>
          <w:szCs w:val="24"/>
        </w:rPr>
      </w:pPr>
      <w:r>
        <w:rPr>
          <w:rFonts w:ascii="Garamond" w:hAnsi="Garamond"/>
          <w:sz w:val="24"/>
          <w:szCs w:val="24"/>
        </w:rPr>
        <w:t>En conclusión, emitida una escala remunerativa con topes máximos</w:t>
      </w:r>
      <w:r w:rsidR="002921CB">
        <w:rPr>
          <w:rFonts w:ascii="Garamond" w:hAnsi="Garamond"/>
          <w:sz w:val="24"/>
          <w:szCs w:val="24"/>
        </w:rPr>
        <w:t xml:space="preserve"> se deberá de verificar su aplicación temporal, su aplicación personal y el estado cuantitativo de su aplicación (progresiva o fija)</w:t>
      </w:r>
      <w:r w:rsidR="009346B9">
        <w:rPr>
          <w:rFonts w:ascii="Garamond" w:hAnsi="Garamond"/>
          <w:sz w:val="24"/>
          <w:szCs w:val="24"/>
        </w:rPr>
        <w:t xml:space="preserve">; el servidor público tendrá la carga de la prueba de acreditar la inaplicación de la escala remunerativa y el no pago </w:t>
      </w:r>
      <w:r w:rsidR="005460A2">
        <w:rPr>
          <w:rFonts w:ascii="Garamond" w:hAnsi="Garamond"/>
          <w:sz w:val="24"/>
          <w:szCs w:val="24"/>
        </w:rPr>
        <w:t>de su remuneración conforme a esta.</w:t>
      </w:r>
    </w:p>
    <w:p w14:paraId="4087A18C" w14:textId="77777777" w:rsidR="005460A2" w:rsidRPr="00616CF0" w:rsidRDefault="005460A2" w:rsidP="00774325">
      <w:pPr>
        <w:pStyle w:val="Sinespaciado"/>
        <w:jc w:val="both"/>
        <w:rPr>
          <w:rFonts w:ascii="Garamond" w:hAnsi="Garamond"/>
          <w:sz w:val="24"/>
          <w:szCs w:val="24"/>
        </w:rPr>
      </w:pPr>
    </w:p>
    <w:p w14:paraId="6605A07D" w14:textId="6DA9BA53" w:rsidR="007231EE" w:rsidRPr="00616CF0" w:rsidRDefault="005F4768" w:rsidP="007231EE">
      <w:pPr>
        <w:pStyle w:val="Sinespaciado"/>
        <w:jc w:val="both"/>
        <w:rPr>
          <w:rFonts w:ascii="Garamond" w:hAnsi="Garamond"/>
          <w:sz w:val="24"/>
          <w:szCs w:val="24"/>
        </w:rPr>
      </w:pPr>
      <w:r w:rsidRPr="009610CA">
        <w:rPr>
          <w:rFonts w:ascii="Garamond" w:hAnsi="Garamond"/>
          <w:b/>
          <w:bCs/>
          <w:sz w:val="24"/>
          <w:szCs w:val="24"/>
        </w:rPr>
        <w:t>R</w:t>
      </w:r>
      <w:r w:rsidR="002F052A" w:rsidRPr="009610CA">
        <w:rPr>
          <w:rFonts w:ascii="Garamond" w:hAnsi="Garamond"/>
          <w:b/>
          <w:bCs/>
          <w:sz w:val="24"/>
          <w:szCs w:val="24"/>
        </w:rPr>
        <w:t>eferencias</w:t>
      </w:r>
      <w:r w:rsidRPr="009610CA">
        <w:rPr>
          <w:rFonts w:ascii="Garamond" w:hAnsi="Garamond"/>
          <w:b/>
          <w:bCs/>
          <w:sz w:val="24"/>
          <w:szCs w:val="24"/>
        </w:rPr>
        <w:t xml:space="preserve"> </w:t>
      </w:r>
    </w:p>
    <w:p w14:paraId="00EACCDB"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Casación 2761-2019 Lima (22 de setiembre de 2022). Reintegro de Remuneraciones y otros. Perú: Cuarta Sala de Derecho Constitucional y Social Transitoria de la Corte Suprema de Justicia de la República</w:t>
      </w:r>
    </w:p>
    <w:p w14:paraId="4AC1A12F"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Casación Laboral 10218-2019 Lima (16 de junio de 2022). Perú: Segunda Sala de Derecho Constitucional y Social Transitoria de la Corte Suprema de Justicia de la República.</w:t>
      </w:r>
    </w:p>
    <w:p w14:paraId="015167B0"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Casación Laboral 18798-2018 Junín (30 de noviembre de 2021). Nivelación de remuneraciones y otros. Perú: Segunda Sala de Derecho Constitucional y Social Transitoria de la Corte Suprema de Justicia de la República.</w:t>
      </w:r>
    </w:p>
    <w:p w14:paraId="2B038130"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Casación Laboral 25175-2017 La Libertad (17 de diciembre de 2019). Nivelación de remuneraciones y otros. Perú: Segunda Sala de Derecho Constitucional y Social Transitoria de la Corte Suprema de Justicia de la república.</w:t>
      </w:r>
    </w:p>
    <w:p w14:paraId="407FD565"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Casación Laboral 6024-2021 Lima (08 de noviembre de 2023). Reintegro de beneficios económicos y otros. Perú: Segunda Sala de Derecho Constitucional y Social Transitoria de la Corte Suprema de Justicia de la República.</w:t>
      </w:r>
    </w:p>
    <w:p w14:paraId="032A698F"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 xml:space="preserve">Convenio OIT 100 (1951). Convenio sobre igualdad de remuneración. Ginebra, Suiza: Organización Internacional del Trabajo </w:t>
      </w:r>
    </w:p>
    <w:p w14:paraId="0D20574A"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Decreto Supremo 002-2018-TR (08 de marzo de 2018). Reglamento de la Ley 30709, Ley que prohíbe la discriminación remunerativa entre varones y mujeres. Perú.</w:t>
      </w:r>
    </w:p>
    <w:p w14:paraId="2CC1582D" w14:textId="77777777" w:rsidR="007231EE" w:rsidRPr="00616CF0" w:rsidRDefault="007231EE" w:rsidP="007231EE">
      <w:pPr>
        <w:pStyle w:val="Textonotapie"/>
        <w:numPr>
          <w:ilvl w:val="0"/>
          <w:numId w:val="9"/>
        </w:numPr>
        <w:ind w:left="360"/>
        <w:rPr>
          <w:rFonts w:ascii="Garamond" w:hAnsi="Garamond"/>
          <w:sz w:val="24"/>
          <w:szCs w:val="24"/>
          <w:lang w:val="es-MX"/>
        </w:rPr>
      </w:pPr>
      <w:r w:rsidRPr="00616CF0">
        <w:rPr>
          <w:rFonts w:ascii="Garamond" w:hAnsi="Garamond"/>
          <w:sz w:val="24"/>
          <w:szCs w:val="24"/>
          <w:lang w:val="es-MX"/>
        </w:rPr>
        <w:t xml:space="preserve">Magela Melo, Geraldo (2010). A </w:t>
      </w:r>
      <w:proofErr w:type="spellStart"/>
      <w:r w:rsidRPr="00616CF0">
        <w:rPr>
          <w:rFonts w:ascii="Garamond" w:hAnsi="Garamond"/>
          <w:sz w:val="24"/>
          <w:szCs w:val="24"/>
        </w:rPr>
        <w:t>vedação</w:t>
      </w:r>
      <w:proofErr w:type="spellEnd"/>
      <w:r w:rsidRPr="00616CF0">
        <w:rPr>
          <w:rFonts w:ascii="Garamond" w:hAnsi="Garamond"/>
          <w:sz w:val="24"/>
          <w:szCs w:val="24"/>
        </w:rPr>
        <w:t xml:space="preserve"> </w:t>
      </w:r>
      <w:proofErr w:type="spellStart"/>
      <w:r w:rsidRPr="00616CF0">
        <w:rPr>
          <w:rFonts w:ascii="Garamond" w:hAnsi="Garamond"/>
          <w:sz w:val="24"/>
          <w:szCs w:val="24"/>
        </w:rPr>
        <w:t>ao</w:t>
      </w:r>
      <w:proofErr w:type="spellEnd"/>
      <w:r w:rsidRPr="00616CF0">
        <w:rPr>
          <w:rFonts w:ascii="Garamond" w:hAnsi="Garamond"/>
          <w:sz w:val="24"/>
          <w:szCs w:val="24"/>
        </w:rPr>
        <w:t xml:space="preserve"> </w:t>
      </w:r>
      <w:proofErr w:type="spellStart"/>
      <w:r w:rsidRPr="00616CF0">
        <w:rPr>
          <w:rFonts w:ascii="Garamond" w:hAnsi="Garamond"/>
          <w:sz w:val="24"/>
          <w:szCs w:val="24"/>
        </w:rPr>
        <w:t>retrocesso</w:t>
      </w:r>
      <w:proofErr w:type="spellEnd"/>
      <w:r w:rsidRPr="00616CF0">
        <w:rPr>
          <w:rFonts w:ascii="Garamond" w:hAnsi="Garamond"/>
          <w:sz w:val="24"/>
          <w:szCs w:val="24"/>
        </w:rPr>
        <w:t xml:space="preserve"> e o direito do Trabalho. En Rev. </w:t>
      </w:r>
      <w:proofErr w:type="spellStart"/>
      <w:r w:rsidRPr="00616CF0">
        <w:rPr>
          <w:rFonts w:ascii="Garamond" w:hAnsi="Garamond"/>
          <w:sz w:val="24"/>
          <w:szCs w:val="24"/>
        </w:rPr>
        <w:t>Trib</w:t>
      </w:r>
      <w:proofErr w:type="spellEnd"/>
      <w:r w:rsidRPr="00616CF0">
        <w:rPr>
          <w:rFonts w:ascii="Garamond" w:hAnsi="Garamond"/>
          <w:sz w:val="24"/>
          <w:szCs w:val="24"/>
        </w:rPr>
        <w:t xml:space="preserve">. Reg. </w:t>
      </w:r>
      <w:proofErr w:type="spellStart"/>
      <w:r w:rsidRPr="00616CF0">
        <w:rPr>
          <w:rFonts w:ascii="Garamond" w:hAnsi="Garamond"/>
          <w:sz w:val="24"/>
          <w:szCs w:val="24"/>
        </w:rPr>
        <w:t>Trab</w:t>
      </w:r>
      <w:proofErr w:type="spellEnd"/>
      <w:r w:rsidRPr="00616CF0">
        <w:rPr>
          <w:rFonts w:ascii="Garamond" w:hAnsi="Garamond"/>
          <w:sz w:val="24"/>
          <w:szCs w:val="24"/>
        </w:rPr>
        <w:t>. 3ª Reg., Belo Horizonte, v.52, n.82, p.65-74. Brasil.</w:t>
      </w:r>
    </w:p>
    <w:p w14:paraId="106079DA"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lastRenderedPageBreak/>
        <w:t>Sentencia de Vista - Resolución 15 (20 de septiembre de 2024). Expediente 17621-2022-0-1801-JR-LA-85. Perú: Sétima Sala Laboral Permanente de la Corte Superior de Justicia de Lima</w:t>
      </w:r>
    </w:p>
    <w:p w14:paraId="602F5DAC" w14:textId="77777777"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rPr>
        <w:t>Sentencia de vista - Resolución 20 (06 de setiembre de 2023). Expediente 03003-2018-0-1801-JR-LA-02. Perú: Segunda Sala Laboral Permanente de la Corte Superior de Justicia de Lima.</w:t>
      </w:r>
    </w:p>
    <w:p w14:paraId="14297DE5" w14:textId="65544AEF" w:rsidR="007231EE" w:rsidRPr="00616CF0" w:rsidRDefault="007231EE" w:rsidP="007231EE">
      <w:pPr>
        <w:pStyle w:val="Sinespaciado"/>
        <w:numPr>
          <w:ilvl w:val="0"/>
          <w:numId w:val="9"/>
        </w:numPr>
        <w:ind w:left="360"/>
        <w:jc w:val="both"/>
        <w:rPr>
          <w:rFonts w:ascii="Garamond" w:hAnsi="Garamond"/>
          <w:sz w:val="24"/>
          <w:szCs w:val="24"/>
        </w:rPr>
      </w:pPr>
      <w:r w:rsidRPr="00616CF0">
        <w:rPr>
          <w:rFonts w:ascii="Garamond" w:hAnsi="Garamond"/>
          <w:sz w:val="24"/>
          <w:szCs w:val="24"/>
          <w:lang w:val="en-US"/>
        </w:rPr>
        <w:t xml:space="preserve">Sh. Abdool Rahman Khan (s/f). Social Justice: Labor Rights in Islam. </w:t>
      </w:r>
      <w:r w:rsidRPr="00616CF0">
        <w:rPr>
          <w:rFonts w:ascii="Garamond" w:hAnsi="Garamond"/>
          <w:sz w:val="24"/>
          <w:szCs w:val="24"/>
        </w:rPr>
        <w:t xml:space="preserve">En: </w:t>
      </w:r>
      <w:r w:rsidRPr="00AA66B6">
        <w:rPr>
          <w:rFonts w:ascii="Garamond" w:hAnsi="Garamond"/>
          <w:sz w:val="24"/>
          <w:szCs w:val="24"/>
        </w:rPr>
        <w:t>https://aflcio.org/sites/default/files/2022-08/Islam-Labor-Rights-Booklet.pdf</w:t>
      </w:r>
    </w:p>
    <w:p w14:paraId="1EAA07CB" w14:textId="77777777" w:rsidR="004A627E" w:rsidRDefault="004A627E" w:rsidP="00774325">
      <w:pPr>
        <w:pStyle w:val="Sinespaciado"/>
        <w:jc w:val="both"/>
        <w:rPr>
          <w:rFonts w:ascii="Garamond" w:hAnsi="Garamond"/>
          <w:sz w:val="24"/>
          <w:szCs w:val="24"/>
        </w:rPr>
      </w:pPr>
    </w:p>
    <w:p w14:paraId="08F9158B" w14:textId="77777777" w:rsidR="009E13DA" w:rsidRDefault="009E13DA" w:rsidP="00774325">
      <w:pPr>
        <w:pStyle w:val="Sinespaciado"/>
        <w:jc w:val="both"/>
        <w:rPr>
          <w:rFonts w:ascii="Garamond" w:hAnsi="Garamond"/>
          <w:sz w:val="24"/>
          <w:szCs w:val="24"/>
        </w:rPr>
        <w:sectPr w:rsidR="009E13DA" w:rsidSect="000B765F">
          <w:headerReference w:type="default" r:id="rId9"/>
          <w:footerReference w:type="default" r:id="rId10"/>
          <w:pgSz w:w="11906" w:h="16838"/>
          <w:pgMar w:top="1417" w:right="1701" w:bottom="1417" w:left="1701" w:header="708" w:footer="708" w:gutter="0"/>
          <w:pgNumType w:start="7"/>
          <w:cols w:space="708"/>
          <w:docGrid w:linePitch="360"/>
        </w:sectPr>
      </w:pPr>
    </w:p>
    <w:p w14:paraId="30A8393A" w14:textId="77777777" w:rsidR="009E13DA" w:rsidRDefault="009E13DA" w:rsidP="00774325">
      <w:pPr>
        <w:pStyle w:val="Sinespaciado"/>
        <w:jc w:val="both"/>
        <w:rPr>
          <w:rFonts w:ascii="Garamond" w:hAnsi="Garamond"/>
          <w:sz w:val="24"/>
          <w:szCs w:val="24"/>
        </w:rPr>
      </w:pPr>
    </w:p>
    <w:p w14:paraId="5C1689CD" w14:textId="77777777" w:rsidR="00B77176" w:rsidRDefault="00B77176" w:rsidP="00774325">
      <w:pPr>
        <w:pStyle w:val="Sinespaciado"/>
        <w:jc w:val="both"/>
        <w:rPr>
          <w:rFonts w:ascii="Garamond" w:hAnsi="Garamond"/>
          <w:sz w:val="24"/>
          <w:szCs w:val="24"/>
        </w:rPr>
      </w:pPr>
    </w:p>
    <w:p w14:paraId="1A10627F" w14:textId="77777777" w:rsidR="00B77176" w:rsidRDefault="00B77176" w:rsidP="00774325">
      <w:pPr>
        <w:pStyle w:val="Sinespaciado"/>
        <w:jc w:val="both"/>
        <w:rPr>
          <w:rFonts w:ascii="Garamond" w:hAnsi="Garamond"/>
          <w:sz w:val="24"/>
          <w:szCs w:val="24"/>
        </w:rPr>
      </w:pPr>
    </w:p>
    <w:p w14:paraId="587BFB84" w14:textId="77777777" w:rsidR="00B77176" w:rsidRDefault="00B77176" w:rsidP="00774325">
      <w:pPr>
        <w:pStyle w:val="Sinespaciado"/>
        <w:jc w:val="both"/>
        <w:rPr>
          <w:rFonts w:ascii="Garamond" w:hAnsi="Garamond"/>
          <w:sz w:val="24"/>
          <w:szCs w:val="24"/>
        </w:rPr>
      </w:pPr>
    </w:p>
    <w:p w14:paraId="1767384B" w14:textId="77777777" w:rsidR="00B77176" w:rsidRDefault="00B77176" w:rsidP="00774325">
      <w:pPr>
        <w:pStyle w:val="Sinespaciado"/>
        <w:jc w:val="both"/>
        <w:rPr>
          <w:rFonts w:ascii="Garamond" w:hAnsi="Garamond"/>
          <w:sz w:val="24"/>
          <w:szCs w:val="24"/>
        </w:rPr>
      </w:pPr>
    </w:p>
    <w:p w14:paraId="60F123EF" w14:textId="77777777" w:rsidR="00B77176" w:rsidRDefault="00B77176" w:rsidP="00774325">
      <w:pPr>
        <w:pStyle w:val="Sinespaciado"/>
        <w:jc w:val="both"/>
        <w:rPr>
          <w:rFonts w:ascii="Garamond" w:hAnsi="Garamond"/>
          <w:sz w:val="24"/>
          <w:szCs w:val="24"/>
        </w:rPr>
      </w:pPr>
    </w:p>
    <w:p w14:paraId="7635C8AF" w14:textId="77777777" w:rsidR="00B77176" w:rsidRDefault="00B77176" w:rsidP="00774325">
      <w:pPr>
        <w:pStyle w:val="Sinespaciado"/>
        <w:jc w:val="both"/>
        <w:rPr>
          <w:rFonts w:ascii="Garamond" w:hAnsi="Garamond"/>
          <w:sz w:val="24"/>
          <w:szCs w:val="24"/>
        </w:rPr>
      </w:pPr>
    </w:p>
    <w:p w14:paraId="08ED5398" w14:textId="77777777" w:rsidR="00B77176" w:rsidRDefault="00B77176" w:rsidP="00774325">
      <w:pPr>
        <w:pStyle w:val="Sinespaciado"/>
        <w:jc w:val="both"/>
        <w:rPr>
          <w:rFonts w:ascii="Garamond" w:hAnsi="Garamond"/>
          <w:sz w:val="24"/>
          <w:szCs w:val="24"/>
        </w:rPr>
      </w:pPr>
    </w:p>
    <w:p w14:paraId="60C11B77" w14:textId="77777777" w:rsidR="00B77176" w:rsidRDefault="00B77176" w:rsidP="00774325">
      <w:pPr>
        <w:pStyle w:val="Sinespaciado"/>
        <w:jc w:val="both"/>
        <w:rPr>
          <w:rFonts w:ascii="Garamond" w:hAnsi="Garamond"/>
          <w:sz w:val="24"/>
          <w:szCs w:val="24"/>
        </w:rPr>
      </w:pPr>
    </w:p>
    <w:p w14:paraId="314923E0" w14:textId="77777777" w:rsidR="00B77176" w:rsidRDefault="00B77176" w:rsidP="00774325">
      <w:pPr>
        <w:pStyle w:val="Sinespaciado"/>
        <w:jc w:val="both"/>
        <w:rPr>
          <w:rFonts w:ascii="Garamond" w:hAnsi="Garamond"/>
          <w:sz w:val="24"/>
          <w:szCs w:val="24"/>
        </w:rPr>
      </w:pPr>
    </w:p>
    <w:p w14:paraId="293096F1" w14:textId="77777777" w:rsidR="00B77176" w:rsidRDefault="00B77176" w:rsidP="00B77176">
      <w:pPr>
        <w:pStyle w:val="Sinespaciado"/>
        <w:jc w:val="both"/>
        <w:rPr>
          <w:rFonts w:ascii="Garamond" w:hAnsi="Garamond"/>
          <w:sz w:val="24"/>
          <w:szCs w:val="24"/>
        </w:rPr>
      </w:pPr>
    </w:p>
    <w:p w14:paraId="481B6F05" w14:textId="77777777" w:rsidR="00B77176" w:rsidRDefault="00B77176" w:rsidP="00B77176">
      <w:pPr>
        <w:pStyle w:val="Sinespaciado"/>
        <w:jc w:val="both"/>
        <w:rPr>
          <w:rFonts w:ascii="Garamond" w:hAnsi="Garamond"/>
          <w:sz w:val="24"/>
          <w:szCs w:val="24"/>
        </w:rPr>
      </w:pPr>
    </w:p>
    <w:p w14:paraId="5F7EF9FE" w14:textId="77777777" w:rsidR="00B77176" w:rsidRDefault="00B77176" w:rsidP="00B77176">
      <w:pPr>
        <w:pStyle w:val="Sinespaciado"/>
        <w:jc w:val="both"/>
        <w:rPr>
          <w:rFonts w:ascii="Garamond" w:hAnsi="Garamond"/>
          <w:sz w:val="24"/>
          <w:szCs w:val="24"/>
        </w:rPr>
      </w:pPr>
    </w:p>
    <w:p w14:paraId="254963AF" w14:textId="77777777" w:rsidR="00B77176" w:rsidRDefault="00B77176" w:rsidP="00B77176">
      <w:pPr>
        <w:pStyle w:val="Sinespaciado"/>
        <w:jc w:val="both"/>
        <w:rPr>
          <w:rFonts w:ascii="Garamond" w:hAnsi="Garamond"/>
          <w:sz w:val="24"/>
          <w:szCs w:val="24"/>
        </w:rPr>
      </w:pPr>
    </w:p>
    <w:p w14:paraId="0B820552" w14:textId="77777777" w:rsidR="00B77176" w:rsidRDefault="00B77176" w:rsidP="00B77176">
      <w:pPr>
        <w:pStyle w:val="Sinespaciado"/>
        <w:jc w:val="center"/>
        <w:rPr>
          <w:rFonts w:ascii="Garamond" w:hAnsi="Garamond"/>
          <w:sz w:val="24"/>
          <w:szCs w:val="24"/>
        </w:rPr>
      </w:pPr>
      <w:r>
        <w:rPr>
          <w:rFonts w:ascii="Garamond" w:hAnsi="Garamond"/>
          <w:sz w:val="24"/>
          <w:szCs w:val="24"/>
        </w:rPr>
        <w:t>Citar artículo</w:t>
      </w:r>
    </w:p>
    <w:p w14:paraId="1612DEFA" w14:textId="77777777" w:rsidR="00B77176" w:rsidRPr="00400621" w:rsidRDefault="00B77176" w:rsidP="00B77176">
      <w:pPr>
        <w:pStyle w:val="Sinespaciado"/>
        <w:jc w:val="both"/>
        <w:rPr>
          <w:rFonts w:ascii="Garamond" w:hAnsi="Garamond"/>
          <w:sz w:val="24"/>
          <w:szCs w:val="24"/>
        </w:rPr>
      </w:pPr>
      <w:r>
        <w:rPr>
          <w:noProof/>
        </w:rPr>
        <mc:AlternateContent>
          <mc:Choice Requires="wps">
            <w:drawing>
              <wp:anchor distT="45720" distB="45720" distL="114300" distR="114300" simplePos="0" relativeHeight="251663360" behindDoc="0" locked="0" layoutInCell="1" allowOverlap="1" wp14:anchorId="54F2F1E2" wp14:editId="07364026">
                <wp:simplePos x="0" y="0"/>
                <wp:positionH relativeFrom="margin">
                  <wp:posOffset>0</wp:posOffset>
                </wp:positionH>
                <wp:positionV relativeFrom="paragraph">
                  <wp:posOffset>212090</wp:posOffset>
                </wp:positionV>
                <wp:extent cx="5334000" cy="949325"/>
                <wp:effectExtent l="0" t="0" r="19050" b="2667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906780"/>
                        </a:xfrm>
                        <a:prstGeom prst="rect">
                          <a:avLst/>
                        </a:prstGeom>
                        <a:solidFill>
                          <a:srgbClr val="FFFFFF"/>
                        </a:solidFill>
                        <a:ln w="9525">
                          <a:solidFill>
                            <a:srgbClr val="000000"/>
                          </a:solidFill>
                          <a:miter lim="800000"/>
                          <a:headEnd/>
                          <a:tailEnd/>
                        </a:ln>
                      </wps:spPr>
                      <wps:txbx>
                        <w:txbxContent>
                          <w:p w14:paraId="27BB1C5E" w14:textId="0825C8A6" w:rsidR="00B77176" w:rsidRPr="00F95707" w:rsidRDefault="00B77176" w:rsidP="00615A2C">
                            <w:pPr>
                              <w:pStyle w:val="Sinespaciado"/>
                              <w:jc w:val="both"/>
                              <w:rPr>
                                <w:rFonts w:ascii="Calibri" w:hAnsi="Calibri" w:cs="Calibri"/>
                                <w:sz w:val="24"/>
                                <w:szCs w:val="24"/>
                              </w:rPr>
                            </w:pPr>
                            <w:bookmarkStart w:id="3" w:name="_Hlk105375449"/>
                            <w:bookmarkStart w:id="4" w:name="_Hlk105375448"/>
                            <w:r w:rsidRPr="00F95707">
                              <w:rPr>
                                <w:rFonts w:ascii="Calibri" w:hAnsi="Calibri" w:cs="Calibri"/>
                                <w:b/>
                                <w:bCs/>
                                <w:sz w:val="24"/>
                                <w:szCs w:val="24"/>
                              </w:rPr>
                              <w:t>Pacori Cari</w:t>
                            </w:r>
                            <w:r w:rsidRPr="00F95707">
                              <w:rPr>
                                <w:rFonts w:ascii="Calibri" w:hAnsi="Calibri" w:cs="Calibri"/>
                                <w:sz w:val="24"/>
                                <w:szCs w:val="24"/>
                              </w:rPr>
                              <w:t>, José María (202</w:t>
                            </w:r>
                            <w:r w:rsidRPr="00F95707">
                              <w:rPr>
                                <w:rFonts w:ascii="Calibri" w:hAnsi="Calibri" w:cs="Calibri"/>
                                <w:sz w:val="24"/>
                                <w:szCs w:val="24"/>
                              </w:rPr>
                              <w:t>5</w:t>
                            </w:r>
                            <w:r w:rsidRPr="00F95707">
                              <w:rPr>
                                <w:rFonts w:ascii="Calibri" w:hAnsi="Calibri" w:cs="Calibri"/>
                                <w:sz w:val="24"/>
                                <w:szCs w:val="24"/>
                              </w:rPr>
                              <w:t>). L</w:t>
                            </w:r>
                            <w:r w:rsidRPr="00F95707">
                              <w:rPr>
                                <w:rFonts w:ascii="Calibri" w:hAnsi="Calibri" w:cs="Calibri"/>
                                <w:sz w:val="24"/>
                                <w:szCs w:val="24"/>
                              </w:rPr>
                              <w:t xml:space="preserve">a nivelación de remuneraciones en el sector público. </w:t>
                            </w:r>
                            <w:r w:rsidRPr="00F95707">
                              <w:rPr>
                                <w:rFonts w:ascii="Calibri" w:hAnsi="Calibri" w:cs="Calibri"/>
                                <w:sz w:val="24"/>
                                <w:szCs w:val="24"/>
                              </w:rPr>
                              <w:t>Percibir una remuneración conforme a la escala remunerativa estatal. Revista Iuris Dictio Perú, Volumen V</w:t>
                            </w:r>
                            <w:r w:rsidR="00615A2C" w:rsidRPr="00F95707">
                              <w:rPr>
                                <w:rFonts w:ascii="Calibri" w:hAnsi="Calibri" w:cs="Calibri"/>
                                <w:sz w:val="24"/>
                                <w:szCs w:val="24"/>
                              </w:rPr>
                              <w:t>II</w:t>
                            </w:r>
                            <w:r w:rsidRPr="00F95707">
                              <w:rPr>
                                <w:rFonts w:ascii="Calibri" w:hAnsi="Calibri" w:cs="Calibri"/>
                                <w:sz w:val="24"/>
                                <w:szCs w:val="24"/>
                              </w:rPr>
                              <w:t xml:space="preserve">, </w:t>
                            </w:r>
                            <w:r w:rsidR="006233A8" w:rsidRPr="00F95707">
                              <w:rPr>
                                <w:rFonts w:ascii="Calibri" w:hAnsi="Calibri" w:cs="Calibri"/>
                                <w:sz w:val="24"/>
                                <w:szCs w:val="24"/>
                              </w:rPr>
                              <w:t>febrero</w:t>
                            </w:r>
                            <w:r w:rsidRPr="00F95707">
                              <w:rPr>
                                <w:rFonts w:ascii="Calibri" w:hAnsi="Calibri" w:cs="Calibri"/>
                                <w:sz w:val="24"/>
                                <w:szCs w:val="24"/>
                              </w:rPr>
                              <w:t xml:space="preserve"> 202</w:t>
                            </w:r>
                            <w:r w:rsidR="00137539" w:rsidRPr="00F95707">
                              <w:rPr>
                                <w:rFonts w:ascii="Calibri" w:hAnsi="Calibri" w:cs="Calibri"/>
                                <w:sz w:val="24"/>
                                <w:szCs w:val="24"/>
                              </w:rPr>
                              <w:t>5</w:t>
                            </w:r>
                            <w:r w:rsidRPr="00F95707">
                              <w:rPr>
                                <w:rFonts w:ascii="Calibri" w:hAnsi="Calibri" w:cs="Calibri"/>
                                <w:sz w:val="24"/>
                                <w:szCs w:val="24"/>
                              </w:rPr>
                              <w:t>, pp. 07-1</w:t>
                            </w:r>
                            <w:r w:rsidR="006233A8" w:rsidRPr="00F95707">
                              <w:rPr>
                                <w:rFonts w:ascii="Calibri" w:hAnsi="Calibri" w:cs="Calibri"/>
                                <w:sz w:val="24"/>
                                <w:szCs w:val="24"/>
                              </w:rPr>
                              <w:t>5</w:t>
                            </w:r>
                            <w:r w:rsidRPr="00F95707">
                              <w:rPr>
                                <w:rFonts w:ascii="Calibri" w:hAnsi="Calibri" w:cs="Calibri"/>
                                <w:sz w:val="24"/>
                                <w:szCs w:val="24"/>
                              </w:rPr>
                              <w:t>. Lima, Perú: Editorial Legal Affairs.</w:t>
                            </w:r>
                            <w:bookmarkEnd w:id="3"/>
                            <w:bookmarkEnd w:id="4"/>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F2F1E2" id="_x0000_t202" coordsize="21600,21600" o:spt="202" path="m,l,21600r21600,l21600,xe">
                <v:stroke joinstyle="miter"/>
                <v:path gradientshapeok="t" o:connecttype="rect"/>
              </v:shapetype>
              <v:shape id="Cuadro de texto 21" o:spid="_x0000_s1028" type="#_x0000_t202" style="position:absolute;left:0;text-align:left;margin-left:0;margin-top:16.7pt;width:420pt;height:74.7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">
                <v:textbox style="mso-fit-shape-to-text:t">
                  <w:txbxContent>
                    <w:p w14:paraId="27BB1C5E" w14:textId="0825C8A6" w:rsidR="00B77176" w:rsidRPr="00F95707" w:rsidRDefault="00B77176" w:rsidP="00615A2C">
                      <w:pPr>
                        <w:pStyle w:val="Sinespaciado"/>
                        <w:jc w:val="both"/>
                        <w:rPr>
                          <w:rFonts w:ascii="Calibri" w:hAnsi="Calibri" w:cs="Calibri"/>
                          <w:sz w:val="24"/>
                          <w:szCs w:val="24"/>
                        </w:rPr>
                      </w:pPr>
                      <w:bookmarkStart w:id="5" w:name="_Hlk105375449"/>
                      <w:bookmarkStart w:id="6" w:name="_Hlk105375448"/>
                      <w:r w:rsidRPr="00F95707">
                        <w:rPr>
                          <w:rFonts w:ascii="Calibri" w:hAnsi="Calibri" w:cs="Calibri"/>
                          <w:b/>
                          <w:bCs/>
                          <w:sz w:val="24"/>
                          <w:szCs w:val="24"/>
                        </w:rPr>
                        <w:t>Pacori Cari</w:t>
                      </w:r>
                      <w:r w:rsidRPr="00F95707">
                        <w:rPr>
                          <w:rFonts w:ascii="Calibri" w:hAnsi="Calibri" w:cs="Calibri"/>
                          <w:sz w:val="24"/>
                          <w:szCs w:val="24"/>
                        </w:rPr>
                        <w:t>, José María (202</w:t>
                      </w:r>
                      <w:r w:rsidRPr="00F95707">
                        <w:rPr>
                          <w:rFonts w:ascii="Calibri" w:hAnsi="Calibri" w:cs="Calibri"/>
                          <w:sz w:val="24"/>
                          <w:szCs w:val="24"/>
                        </w:rPr>
                        <w:t>5</w:t>
                      </w:r>
                      <w:r w:rsidRPr="00F95707">
                        <w:rPr>
                          <w:rFonts w:ascii="Calibri" w:hAnsi="Calibri" w:cs="Calibri"/>
                          <w:sz w:val="24"/>
                          <w:szCs w:val="24"/>
                        </w:rPr>
                        <w:t>). L</w:t>
                      </w:r>
                      <w:r w:rsidRPr="00F95707">
                        <w:rPr>
                          <w:rFonts w:ascii="Calibri" w:hAnsi="Calibri" w:cs="Calibri"/>
                          <w:sz w:val="24"/>
                          <w:szCs w:val="24"/>
                        </w:rPr>
                        <w:t xml:space="preserve">a nivelación de remuneraciones en el sector público. </w:t>
                      </w:r>
                      <w:r w:rsidRPr="00F95707">
                        <w:rPr>
                          <w:rFonts w:ascii="Calibri" w:hAnsi="Calibri" w:cs="Calibri"/>
                          <w:sz w:val="24"/>
                          <w:szCs w:val="24"/>
                        </w:rPr>
                        <w:t>Percibir una remuneración conforme a la escala remunerativa estatal. Revista Iuris Dictio Perú, Volumen V</w:t>
                      </w:r>
                      <w:r w:rsidR="00615A2C" w:rsidRPr="00F95707">
                        <w:rPr>
                          <w:rFonts w:ascii="Calibri" w:hAnsi="Calibri" w:cs="Calibri"/>
                          <w:sz w:val="24"/>
                          <w:szCs w:val="24"/>
                        </w:rPr>
                        <w:t>II</w:t>
                      </w:r>
                      <w:r w:rsidRPr="00F95707">
                        <w:rPr>
                          <w:rFonts w:ascii="Calibri" w:hAnsi="Calibri" w:cs="Calibri"/>
                          <w:sz w:val="24"/>
                          <w:szCs w:val="24"/>
                        </w:rPr>
                        <w:t xml:space="preserve">, </w:t>
                      </w:r>
                      <w:r w:rsidR="006233A8" w:rsidRPr="00F95707">
                        <w:rPr>
                          <w:rFonts w:ascii="Calibri" w:hAnsi="Calibri" w:cs="Calibri"/>
                          <w:sz w:val="24"/>
                          <w:szCs w:val="24"/>
                        </w:rPr>
                        <w:t>febrero</w:t>
                      </w:r>
                      <w:r w:rsidRPr="00F95707">
                        <w:rPr>
                          <w:rFonts w:ascii="Calibri" w:hAnsi="Calibri" w:cs="Calibri"/>
                          <w:sz w:val="24"/>
                          <w:szCs w:val="24"/>
                        </w:rPr>
                        <w:t xml:space="preserve"> 202</w:t>
                      </w:r>
                      <w:r w:rsidR="00137539" w:rsidRPr="00F95707">
                        <w:rPr>
                          <w:rFonts w:ascii="Calibri" w:hAnsi="Calibri" w:cs="Calibri"/>
                          <w:sz w:val="24"/>
                          <w:szCs w:val="24"/>
                        </w:rPr>
                        <w:t>5</w:t>
                      </w:r>
                      <w:r w:rsidRPr="00F95707">
                        <w:rPr>
                          <w:rFonts w:ascii="Calibri" w:hAnsi="Calibri" w:cs="Calibri"/>
                          <w:sz w:val="24"/>
                          <w:szCs w:val="24"/>
                        </w:rPr>
                        <w:t>, pp. 07-1</w:t>
                      </w:r>
                      <w:r w:rsidR="006233A8" w:rsidRPr="00F95707">
                        <w:rPr>
                          <w:rFonts w:ascii="Calibri" w:hAnsi="Calibri" w:cs="Calibri"/>
                          <w:sz w:val="24"/>
                          <w:szCs w:val="24"/>
                        </w:rPr>
                        <w:t>5</w:t>
                      </w:r>
                      <w:r w:rsidRPr="00F95707">
                        <w:rPr>
                          <w:rFonts w:ascii="Calibri" w:hAnsi="Calibri" w:cs="Calibri"/>
                          <w:sz w:val="24"/>
                          <w:szCs w:val="24"/>
                        </w:rPr>
                        <w:t>. Lima, Perú: Editorial Legal Affairs.</w:t>
                      </w:r>
                      <w:bookmarkEnd w:id="5"/>
                      <w:bookmarkEnd w:id="6"/>
                    </w:p>
                  </w:txbxContent>
                </v:textbox>
                <w10:wrap type="square" anchorx="margin"/>
              </v:shape>
            </w:pict>
          </mc:Fallback>
        </mc:AlternateContent>
      </w:r>
    </w:p>
    <w:p w14:paraId="2B84FBC2" w14:textId="77777777" w:rsidR="00B77176" w:rsidRPr="00616CF0" w:rsidRDefault="00B77176" w:rsidP="00774325">
      <w:pPr>
        <w:pStyle w:val="Sinespaciado"/>
        <w:jc w:val="both"/>
        <w:rPr>
          <w:rFonts w:ascii="Garamond" w:hAnsi="Garamond"/>
          <w:sz w:val="24"/>
          <w:szCs w:val="24"/>
        </w:rPr>
      </w:pPr>
    </w:p>
    <w:sectPr w:rsidR="00B77176" w:rsidRPr="00616CF0" w:rsidSect="000B765F">
      <w:headerReference w:type="default" r:id="rId11"/>
      <w:footerReference w:type="default" r:id="rId12"/>
      <w:pgSz w:w="11906" w:h="16838"/>
      <w:pgMar w:top="1417" w:right="1701" w:bottom="1417" w:left="1701" w:header="708" w:footer="708"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554C0" w14:textId="77777777" w:rsidR="0038365F" w:rsidRDefault="0038365F" w:rsidP="00774325">
      <w:pPr>
        <w:spacing w:after="0" w:line="240" w:lineRule="auto"/>
      </w:pPr>
      <w:r>
        <w:separator/>
      </w:r>
    </w:p>
  </w:endnote>
  <w:endnote w:type="continuationSeparator" w:id="0">
    <w:p w14:paraId="2736A4E0" w14:textId="77777777" w:rsidR="0038365F" w:rsidRDefault="0038365F" w:rsidP="00774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69" w:type="pct"/>
      <w:tblCellMar>
        <w:top w:w="72" w:type="dxa"/>
        <w:left w:w="115" w:type="dxa"/>
        <w:bottom w:w="72" w:type="dxa"/>
        <w:right w:w="115" w:type="dxa"/>
      </w:tblCellMar>
      <w:tblLook w:val="04A0" w:firstRow="1" w:lastRow="0" w:firstColumn="1" w:lastColumn="0" w:noHBand="0" w:noVBand="1"/>
    </w:tblPr>
    <w:tblGrid>
      <w:gridCol w:w="8066"/>
      <w:gridCol w:w="896"/>
    </w:tblGrid>
    <w:tr w:rsidR="002F590C" w14:paraId="78C2FF13" w14:textId="77777777" w:rsidTr="00C01A52">
      <w:trPr>
        <w:trHeight w:val="626"/>
      </w:trPr>
      <w:tc>
        <w:tcPr>
          <w:tcW w:w="4500" w:type="pct"/>
          <w:hideMark/>
        </w:tcPr>
        <w:p w14:paraId="06513E9A" w14:textId="5F71CB60" w:rsidR="002F590C" w:rsidRDefault="002F590C" w:rsidP="002F590C">
          <w:pPr>
            <w:pStyle w:val="Piedepgina"/>
            <w:spacing w:line="254" w:lineRule="auto"/>
            <w:rPr>
              <w:rFonts w:ascii="Britannic Bold" w:hAnsi="Britannic Bold"/>
              <w:color w:val="000000" w:themeColor="text1"/>
              <w:sz w:val="24"/>
              <w:szCs w:val="24"/>
            </w:rPr>
          </w:pPr>
          <w:r>
            <w:rPr>
              <w:rFonts w:ascii="Britannic Bold" w:hAnsi="Britannic Bold"/>
              <w:b/>
              <w:color w:val="000000" w:themeColor="text1"/>
              <w:sz w:val="24"/>
              <w:szCs w:val="24"/>
            </w:rPr>
            <w:t xml:space="preserve">REVISTA </w:t>
          </w:r>
          <w:sdt>
            <w:sdtPr>
              <w:rPr>
                <w:rFonts w:ascii="Britannic Bold" w:hAnsi="Britannic Bold"/>
                <w:b/>
                <w:color w:val="000000" w:themeColor="text1"/>
                <w:sz w:val="24"/>
                <w:szCs w:val="24"/>
              </w:rPr>
              <w:alias w:val="Compañía"/>
              <w:id w:val="-828525719"/>
              <w:dataBinding w:prefixMappings="xmlns:ns0='http://schemas.openxmlformats.org/officeDocument/2006/extended-properties'" w:xpath="/ns0:Properties[1]/ns0:Company[1]" w:storeItemID="{6668398D-A668-4E3E-A5EB-62B293D839F1}"/>
              <w:text/>
            </w:sdtPr>
            <w:sdtContent>
              <w:r>
                <w:rPr>
                  <w:rFonts w:ascii="Britannic Bold" w:hAnsi="Britannic Bold"/>
                  <w:b/>
                  <w:color w:val="000000" w:themeColor="text1"/>
                  <w:sz w:val="24"/>
                  <w:szCs w:val="24"/>
                </w:rPr>
                <w:t>IURIS DICTIO PERÚ</w:t>
              </w:r>
            </w:sdtContent>
          </w:sdt>
          <w:r>
            <w:rPr>
              <w:rFonts w:ascii="Britannic Bold" w:hAnsi="Britannic Bold"/>
              <w:b/>
              <w:color w:val="000000" w:themeColor="text1"/>
              <w:sz w:val="24"/>
              <w:szCs w:val="24"/>
            </w:rPr>
            <w:t xml:space="preserve"> </w:t>
          </w:r>
          <w:r>
            <w:rPr>
              <w:rFonts w:ascii="Britannic Bold" w:hAnsi="Britannic Bold"/>
              <w:color w:val="000000" w:themeColor="text1"/>
              <w:sz w:val="24"/>
              <w:szCs w:val="24"/>
              <w:lang w:val="es-ES"/>
            </w:rPr>
            <w:t>| Volumen V</w:t>
          </w:r>
          <w:r w:rsidR="00420A8E">
            <w:rPr>
              <w:rFonts w:ascii="Britannic Bold" w:hAnsi="Britannic Bold"/>
              <w:color w:val="000000" w:themeColor="text1"/>
              <w:sz w:val="24"/>
              <w:szCs w:val="24"/>
              <w:lang w:val="es-ES"/>
            </w:rPr>
            <w:t>I</w:t>
          </w:r>
          <w:r w:rsidR="00615A2C">
            <w:rPr>
              <w:rFonts w:ascii="Britannic Bold" w:hAnsi="Britannic Bold"/>
              <w:color w:val="000000" w:themeColor="text1"/>
              <w:sz w:val="24"/>
              <w:szCs w:val="24"/>
              <w:lang w:val="es-ES"/>
            </w:rPr>
            <w:t>I</w:t>
          </w:r>
          <w:r>
            <w:rPr>
              <w:rFonts w:ascii="Britannic Bold" w:hAnsi="Britannic Bold"/>
              <w:color w:val="000000" w:themeColor="text1"/>
              <w:sz w:val="24"/>
              <w:szCs w:val="24"/>
            </w:rPr>
            <w:t xml:space="preserve"> – </w:t>
          </w:r>
          <w:r w:rsidR="006233A8">
            <w:rPr>
              <w:rFonts w:ascii="Britannic Bold" w:hAnsi="Britannic Bold"/>
              <w:color w:val="000000" w:themeColor="text1"/>
              <w:sz w:val="24"/>
              <w:szCs w:val="24"/>
            </w:rPr>
            <w:t>febrero</w:t>
          </w:r>
          <w:r>
            <w:rPr>
              <w:rFonts w:ascii="Britannic Bold" w:hAnsi="Britannic Bold"/>
              <w:color w:val="000000" w:themeColor="text1"/>
              <w:sz w:val="24"/>
              <w:szCs w:val="24"/>
            </w:rPr>
            <w:t xml:space="preserve"> 202</w:t>
          </w:r>
          <w:r w:rsidR="00420A8E">
            <w:rPr>
              <w:rFonts w:ascii="Britannic Bold" w:hAnsi="Britannic Bold"/>
              <w:color w:val="000000" w:themeColor="text1"/>
              <w:sz w:val="24"/>
              <w:szCs w:val="24"/>
            </w:rPr>
            <w:t>5</w:t>
          </w:r>
          <w:r>
            <w:rPr>
              <w:rFonts w:ascii="Britannic Bold" w:hAnsi="Britannic Bold"/>
              <w:color w:val="000000" w:themeColor="text1"/>
              <w:sz w:val="24"/>
              <w:szCs w:val="24"/>
            </w:rPr>
            <w:t xml:space="preserve"> – pp. 07-1</w:t>
          </w:r>
          <w:r w:rsidR="000B765F">
            <w:rPr>
              <w:rFonts w:ascii="Britannic Bold" w:hAnsi="Britannic Bold"/>
              <w:color w:val="000000" w:themeColor="text1"/>
              <w:sz w:val="24"/>
              <w:szCs w:val="24"/>
            </w:rPr>
            <w:t>5</w:t>
          </w:r>
        </w:p>
      </w:tc>
      <w:tc>
        <w:tcPr>
          <w:tcW w:w="500" w:type="pct"/>
          <w:shd w:val="clear" w:color="auto" w:fill="D9D9D9" w:themeFill="background1" w:themeFillShade="D9"/>
          <w:hideMark/>
        </w:tcPr>
        <w:p w14:paraId="75DB4A6C" w14:textId="77777777" w:rsidR="002F590C" w:rsidRDefault="002F590C" w:rsidP="002F590C">
          <w:pPr>
            <w:pStyle w:val="Encabezado"/>
            <w:spacing w:line="254" w:lineRule="auto"/>
            <w:jc w:val="center"/>
            <w:rPr>
              <w:color w:val="000000" w:themeColor="text1"/>
              <w:sz w:val="28"/>
              <w:szCs w:val="28"/>
            </w:rPr>
          </w:pPr>
          <w:r>
            <w:rPr>
              <w:noProof/>
            </w:rPr>
            <mc:AlternateContent>
              <mc:Choice Requires="wps">
                <w:drawing>
                  <wp:anchor distT="0" distB="0" distL="114300" distR="114300" simplePos="0" relativeHeight="251661312" behindDoc="0" locked="0" layoutInCell="1" allowOverlap="1" wp14:anchorId="540F566A" wp14:editId="6B7304D6">
                    <wp:simplePos x="0" y="0"/>
                    <wp:positionH relativeFrom="column">
                      <wp:posOffset>538480</wp:posOffset>
                    </wp:positionH>
                    <wp:positionV relativeFrom="paragraph">
                      <wp:posOffset>-2366645</wp:posOffset>
                    </wp:positionV>
                    <wp:extent cx="637540" cy="2317115"/>
                    <wp:effectExtent l="0" t="0" r="0" b="6985"/>
                    <wp:wrapNone/>
                    <wp:docPr id="5" name="Rectángulo 5"/>
                    <wp:cNvGraphicFramePr/>
                    <a:graphic xmlns:a="http://schemas.openxmlformats.org/drawingml/2006/main">
                      <a:graphicData uri="http://schemas.microsoft.com/office/word/2010/wordprocessingShape">
                        <wps:wsp>
                          <wps:cNvSpPr/>
                          <wps:spPr>
                            <a:xfrm>
                              <a:off x="0" y="0"/>
                              <a:ext cx="637540" cy="231711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49188E" w14:textId="77777777" w:rsidR="002F590C" w:rsidRDefault="002F590C" w:rsidP="002F590C">
                                <w:pPr>
                                  <w:pStyle w:val="Sinespaciado"/>
                                  <w:jc w:val="center"/>
                                  <w:rPr>
                                    <w:rFonts w:ascii="Agency FB" w:hAnsi="Agency FB"/>
                                    <w:color w:val="000000" w:themeColor="text1"/>
                                    <w:sz w:val="26"/>
                                    <w:szCs w:val="26"/>
                                  </w:rPr>
                                </w:pPr>
                                <w:r>
                                  <w:rPr>
                                    <w:rFonts w:ascii="Agency FB" w:hAnsi="Agency FB"/>
                                    <w:color w:val="000000" w:themeColor="text1"/>
                                    <w:sz w:val="26"/>
                                    <w:szCs w:val="26"/>
                                  </w:rPr>
                                  <w:t>Editorial Legal Affairs – Lima, Perú</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0F566A" id="Rectángulo 5" o:spid="_x0000_s1030" style="position:absolute;left:0;text-align:left;margin-left:42.4pt;margin-top:-186.35pt;width:50.2pt;height:18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" fillcolor="#d8d8d8 [2732]" stroked="f" strokeweight="1pt">
                    <v:textbox style="layout-flow:vertical;mso-layout-flow-alt:bottom-to-top">
                      <w:txbxContent>
                        <w:p w14:paraId="2F49188E" w14:textId="77777777" w:rsidR="002F590C" w:rsidRDefault="002F590C" w:rsidP="002F590C">
                          <w:pPr>
                            <w:pStyle w:val="Sinespaciado"/>
                            <w:jc w:val="center"/>
                            <w:rPr>
                              <w:rFonts w:ascii="Agency FB" w:hAnsi="Agency FB"/>
                              <w:color w:val="000000" w:themeColor="text1"/>
                              <w:sz w:val="26"/>
                              <w:szCs w:val="26"/>
                            </w:rPr>
                          </w:pPr>
                          <w:r>
                            <w:rPr>
                              <w:rFonts w:ascii="Agency FB" w:hAnsi="Agency FB"/>
                              <w:color w:val="000000" w:themeColor="text1"/>
                              <w:sz w:val="26"/>
                              <w:szCs w:val="26"/>
                            </w:rPr>
                            <w:t>Editorial Legal Affairs – Lima, Perú</w:t>
                          </w:r>
                        </w:p>
                      </w:txbxContent>
                    </v:textbox>
                  </v:rect>
                </w:pict>
              </mc:Fallback>
            </mc:AlternateContent>
          </w:r>
          <w:r>
            <w:rPr>
              <w:color w:val="000000" w:themeColor="text1"/>
              <w:sz w:val="28"/>
              <w:szCs w:val="28"/>
            </w:rPr>
            <w:fldChar w:fldCharType="begin"/>
          </w:r>
          <w:r>
            <w:rPr>
              <w:color w:val="000000" w:themeColor="text1"/>
              <w:sz w:val="28"/>
              <w:szCs w:val="28"/>
            </w:rPr>
            <w:instrText>PAGE   \* MERGEFORMAT</w:instrText>
          </w:r>
          <w:r>
            <w:rPr>
              <w:color w:val="000000" w:themeColor="text1"/>
              <w:sz w:val="28"/>
              <w:szCs w:val="28"/>
            </w:rPr>
            <w:fldChar w:fldCharType="separate"/>
          </w:r>
          <w:r>
            <w:rPr>
              <w:color w:val="000000" w:themeColor="text1"/>
              <w:sz w:val="28"/>
              <w:szCs w:val="28"/>
            </w:rPr>
            <w:t>7</w:t>
          </w:r>
          <w:r>
            <w:rPr>
              <w:color w:val="000000" w:themeColor="text1"/>
              <w:sz w:val="28"/>
              <w:szCs w:val="28"/>
            </w:rPr>
            <w:fldChar w:fldCharType="end"/>
          </w:r>
        </w:p>
      </w:tc>
    </w:tr>
  </w:tbl>
  <w:p w14:paraId="2FC9F920" w14:textId="77777777" w:rsidR="002F590C" w:rsidRDefault="002F59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F5B5" w14:textId="77777777" w:rsidR="00F95707" w:rsidRPr="00F95707" w:rsidRDefault="00F95707" w:rsidP="00F95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33409" w14:textId="77777777" w:rsidR="0038365F" w:rsidRDefault="0038365F" w:rsidP="00774325">
      <w:pPr>
        <w:spacing w:after="0" w:line="240" w:lineRule="auto"/>
      </w:pPr>
      <w:r>
        <w:separator/>
      </w:r>
    </w:p>
  </w:footnote>
  <w:footnote w:type="continuationSeparator" w:id="0">
    <w:p w14:paraId="4D178417" w14:textId="77777777" w:rsidR="0038365F" w:rsidRDefault="0038365F" w:rsidP="00774325">
      <w:pPr>
        <w:spacing w:after="0" w:line="240" w:lineRule="auto"/>
      </w:pPr>
      <w:r>
        <w:continuationSeparator/>
      </w:r>
    </w:p>
  </w:footnote>
  <w:footnote w:id="1">
    <w:p w14:paraId="7C86897E" w14:textId="77777777" w:rsidR="0095694F" w:rsidRPr="0044733A" w:rsidRDefault="0095694F" w:rsidP="0044733A">
      <w:pPr>
        <w:pStyle w:val="Sinespaciado"/>
        <w:jc w:val="both"/>
        <w:rPr>
          <w:rFonts w:ascii="Calibri" w:hAnsi="Calibri" w:cs="Calibri"/>
          <w:sz w:val="18"/>
          <w:szCs w:val="18"/>
        </w:rPr>
      </w:pPr>
      <w:r w:rsidRPr="0044733A">
        <w:rPr>
          <w:rStyle w:val="Refdenotaalpie"/>
          <w:rFonts w:ascii="Calibri" w:hAnsi="Calibri" w:cs="Calibri"/>
          <w:sz w:val="18"/>
          <w:szCs w:val="18"/>
        </w:rPr>
        <w:t>*</w:t>
      </w:r>
      <w:r w:rsidRPr="0044733A">
        <w:rPr>
          <w:rFonts w:ascii="Calibri" w:hAnsi="Calibri" w:cs="Calibri"/>
          <w:sz w:val="18"/>
          <w:szCs w:val="18"/>
        </w:rPr>
        <w:t xml:space="preserve"> El autor es abogado especialista en Derecho del Trabajo en el Perú. Contacto: corporacionhiramsl@gmail.com o móvil y WhatsApp (+51) 959666272.</w:t>
      </w:r>
    </w:p>
  </w:footnote>
  <w:footnote w:id="2">
    <w:p w14:paraId="7EDC2462" w14:textId="51CBA103" w:rsidR="00774325" w:rsidRPr="0044733A" w:rsidRDefault="00774325" w:rsidP="0044733A">
      <w:pPr>
        <w:pStyle w:val="Sinespaciado"/>
        <w:jc w:val="both"/>
        <w:rPr>
          <w:rFonts w:ascii="Calibri" w:hAnsi="Calibri" w:cs="Calibri"/>
          <w:sz w:val="18"/>
          <w:szCs w:val="18"/>
        </w:rPr>
      </w:pPr>
      <w:r w:rsidRPr="0044733A">
        <w:rPr>
          <w:rStyle w:val="Refdenotaalpie"/>
          <w:rFonts w:ascii="Calibri" w:hAnsi="Calibri" w:cs="Calibri"/>
          <w:sz w:val="18"/>
          <w:szCs w:val="18"/>
        </w:rPr>
        <w:footnoteRef/>
      </w:r>
      <w:r w:rsidRPr="0044733A">
        <w:rPr>
          <w:rFonts w:ascii="Calibri" w:hAnsi="Calibri" w:cs="Calibri"/>
          <w:sz w:val="18"/>
          <w:szCs w:val="18"/>
        </w:rPr>
        <w:t xml:space="preserve"> De igual manera</w:t>
      </w:r>
    </w:p>
  </w:footnote>
  <w:footnote w:id="3">
    <w:p w14:paraId="392DE519" w14:textId="7F23D0C7" w:rsidR="0044681F" w:rsidRPr="0044733A" w:rsidRDefault="0044681F" w:rsidP="0044733A">
      <w:pPr>
        <w:pStyle w:val="Sinespaciado"/>
        <w:jc w:val="both"/>
        <w:rPr>
          <w:rFonts w:ascii="Calibri" w:hAnsi="Calibri" w:cs="Calibri"/>
          <w:sz w:val="18"/>
          <w:szCs w:val="18"/>
          <w:lang w:val="es-MX"/>
        </w:rPr>
      </w:pPr>
      <w:r w:rsidRPr="0044733A">
        <w:rPr>
          <w:rStyle w:val="Refdenotaalpie"/>
          <w:rFonts w:ascii="Calibri" w:hAnsi="Calibri" w:cs="Calibri"/>
          <w:sz w:val="18"/>
          <w:szCs w:val="18"/>
        </w:rPr>
        <w:footnoteRef/>
      </w:r>
      <w:r w:rsidRPr="0044733A">
        <w:rPr>
          <w:rFonts w:ascii="Calibri" w:hAnsi="Calibri" w:cs="Calibri"/>
          <w:sz w:val="18"/>
          <w:szCs w:val="18"/>
        </w:rPr>
        <w:t xml:space="preserve"> </w:t>
      </w:r>
      <w:r w:rsidR="00AA5B73" w:rsidRPr="00793B77">
        <w:rPr>
          <w:rFonts w:ascii="Calibri" w:hAnsi="Calibri" w:cs="Calibri"/>
          <w:i/>
          <w:iCs/>
          <w:sz w:val="18"/>
          <w:szCs w:val="18"/>
        </w:rPr>
        <w:t xml:space="preserve">“Tal </w:t>
      </w:r>
      <w:proofErr w:type="spellStart"/>
      <w:r w:rsidR="00AA5B73" w:rsidRPr="00793B77">
        <w:rPr>
          <w:rFonts w:ascii="Calibri" w:hAnsi="Calibri" w:cs="Calibri"/>
          <w:i/>
          <w:iCs/>
          <w:sz w:val="18"/>
          <w:szCs w:val="18"/>
        </w:rPr>
        <w:t>princípio</w:t>
      </w:r>
      <w:proofErr w:type="spellEnd"/>
      <w:r w:rsidR="00AA5B73" w:rsidRPr="00793B77">
        <w:rPr>
          <w:rFonts w:ascii="Calibri" w:hAnsi="Calibri" w:cs="Calibri"/>
          <w:i/>
          <w:iCs/>
          <w:sz w:val="18"/>
          <w:szCs w:val="18"/>
        </w:rPr>
        <w:t xml:space="preserve"> alude a </w:t>
      </w:r>
      <w:proofErr w:type="spellStart"/>
      <w:r w:rsidR="00AA5B73" w:rsidRPr="00793B77">
        <w:rPr>
          <w:rFonts w:ascii="Calibri" w:hAnsi="Calibri" w:cs="Calibri"/>
          <w:i/>
          <w:iCs/>
          <w:sz w:val="18"/>
          <w:szCs w:val="18"/>
        </w:rPr>
        <w:t>ideia</w:t>
      </w:r>
      <w:proofErr w:type="spellEnd"/>
      <w:r w:rsidR="00AA5B73" w:rsidRPr="00793B77">
        <w:rPr>
          <w:rFonts w:ascii="Calibri" w:hAnsi="Calibri" w:cs="Calibri"/>
          <w:i/>
          <w:iCs/>
          <w:sz w:val="18"/>
          <w:szCs w:val="18"/>
        </w:rPr>
        <w:t xml:space="preserve"> de que o Estado, </w:t>
      </w:r>
      <w:proofErr w:type="spellStart"/>
      <w:r w:rsidR="00AA5B73" w:rsidRPr="00793B77">
        <w:rPr>
          <w:rFonts w:ascii="Calibri" w:hAnsi="Calibri" w:cs="Calibri"/>
          <w:i/>
          <w:iCs/>
          <w:sz w:val="18"/>
          <w:szCs w:val="18"/>
        </w:rPr>
        <w:t>após</w:t>
      </w:r>
      <w:proofErr w:type="spellEnd"/>
      <w:r w:rsidR="00AA5B73" w:rsidRPr="00793B77">
        <w:rPr>
          <w:rFonts w:ascii="Calibri" w:hAnsi="Calibri" w:cs="Calibri"/>
          <w:i/>
          <w:iCs/>
          <w:sz w:val="18"/>
          <w:szCs w:val="18"/>
        </w:rPr>
        <w:t xml:space="preserve"> ter implementado </w:t>
      </w:r>
      <w:proofErr w:type="spellStart"/>
      <w:r w:rsidR="00AA5B73" w:rsidRPr="00793B77">
        <w:rPr>
          <w:rFonts w:ascii="Calibri" w:hAnsi="Calibri" w:cs="Calibri"/>
          <w:i/>
          <w:iCs/>
          <w:sz w:val="18"/>
          <w:szCs w:val="18"/>
        </w:rPr>
        <w:t>um</w:t>
      </w:r>
      <w:proofErr w:type="spellEnd"/>
      <w:r w:rsidR="00AA5B73" w:rsidRPr="00793B77">
        <w:rPr>
          <w:rFonts w:ascii="Calibri" w:hAnsi="Calibri" w:cs="Calibri"/>
          <w:i/>
          <w:iCs/>
          <w:sz w:val="18"/>
          <w:szCs w:val="18"/>
        </w:rPr>
        <w:t xml:space="preserve"> direito fundamental, </w:t>
      </w:r>
      <w:proofErr w:type="spellStart"/>
      <w:r w:rsidR="00AA5B73" w:rsidRPr="00793B77">
        <w:rPr>
          <w:rFonts w:ascii="Calibri" w:hAnsi="Calibri" w:cs="Calibri"/>
          <w:i/>
          <w:iCs/>
          <w:sz w:val="18"/>
          <w:szCs w:val="18"/>
        </w:rPr>
        <w:t>não</w:t>
      </w:r>
      <w:proofErr w:type="spellEnd"/>
      <w:r w:rsidR="00AA5B73" w:rsidRPr="00793B77">
        <w:rPr>
          <w:rFonts w:ascii="Calibri" w:hAnsi="Calibri" w:cs="Calibri"/>
          <w:i/>
          <w:iCs/>
          <w:sz w:val="18"/>
          <w:szCs w:val="18"/>
        </w:rPr>
        <w:t xml:space="preserve"> pode retroceder, </w:t>
      </w:r>
      <w:proofErr w:type="spellStart"/>
      <w:r w:rsidR="00AA5B73" w:rsidRPr="00793B77">
        <w:rPr>
          <w:rFonts w:ascii="Calibri" w:hAnsi="Calibri" w:cs="Calibri"/>
          <w:i/>
          <w:iCs/>
          <w:sz w:val="18"/>
          <w:szCs w:val="18"/>
        </w:rPr>
        <w:t>ou</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seja</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não</w:t>
      </w:r>
      <w:proofErr w:type="spellEnd"/>
      <w:r w:rsidR="00AA5B73" w:rsidRPr="00793B77">
        <w:rPr>
          <w:rFonts w:ascii="Calibri" w:hAnsi="Calibri" w:cs="Calibri"/>
          <w:i/>
          <w:iCs/>
          <w:sz w:val="18"/>
          <w:szCs w:val="18"/>
        </w:rPr>
        <w:t xml:space="preserve"> pode </w:t>
      </w:r>
      <w:proofErr w:type="spellStart"/>
      <w:r w:rsidR="00AA5B73" w:rsidRPr="00793B77">
        <w:rPr>
          <w:rFonts w:ascii="Calibri" w:hAnsi="Calibri" w:cs="Calibri"/>
          <w:i/>
          <w:iCs/>
          <w:sz w:val="18"/>
          <w:szCs w:val="18"/>
        </w:rPr>
        <w:t>praticar</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algum</w:t>
      </w:r>
      <w:proofErr w:type="spellEnd"/>
      <w:r w:rsidR="00AA5B73" w:rsidRPr="00793B77">
        <w:rPr>
          <w:rFonts w:ascii="Calibri" w:hAnsi="Calibri" w:cs="Calibri"/>
          <w:i/>
          <w:iCs/>
          <w:sz w:val="18"/>
          <w:szCs w:val="18"/>
        </w:rPr>
        <w:t xml:space="preserve"> ato que vulnere </w:t>
      </w:r>
      <w:proofErr w:type="spellStart"/>
      <w:r w:rsidR="00AA5B73" w:rsidRPr="00793B77">
        <w:rPr>
          <w:rFonts w:ascii="Calibri" w:hAnsi="Calibri" w:cs="Calibri"/>
          <w:i/>
          <w:iCs/>
          <w:sz w:val="18"/>
          <w:szCs w:val="18"/>
        </w:rPr>
        <w:t>um</w:t>
      </w:r>
      <w:proofErr w:type="spellEnd"/>
      <w:r w:rsidR="00AA5B73" w:rsidRPr="00793B77">
        <w:rPr>
          <w:rFonts w:ascii="Calibri" w:hAnsi="Calibri" w:cs="Calibri"/>
          <w:i/>
          <w:iCs/>
          <w:sz w:val="18"/>
          <w:szCs w:val="18"/>
        </w:rPr>
        <w:t xml:space="preserve"> direito que </w:t>
      </w:r>
      <w:proofErr w:type="spellStart"/>
      <w:r w:rsidR="00AA5B73" w:rsidRPr="00793B77">
        <w:rPr>
          <w:rFonts w:ascii="Calibri" w:hAnsi="Calibri" w:cs="Calibri"/>
          <w:i/>
          <w:iCs/>
          <w:sz w:val="18"/>
          <w:szCs w:val="18"/>
        </w:rPr>
        <w:t>estava</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passível</w:t>
      </w:r>
      <w:proofErr w:type="spellEnd"/>
      <w:r w:rsidR="00AA5B73" w:rsidRPr="00793B77">
        <w:rPr>
          <w:rFonts w:ascii="Calibri" w:hAnsi="Calibri" w:cs="Calibri"/>
          <w:i/>
          <w:iCs/>
          <w:sz w:val="18"/>
          <w:szCs w:val="18"/>
        </w:rPr>
        <w:t xml:space="preserve"> de </w:t>
      </w:r>
      <w:proofErr w:type="spellStart"/>
      <w:r w:rsidR="00AA5B73" w:rsidRPr="00793B77">
        <w:rPr>
          <w:rFonts w:ascii="Calibri" w:hAnsi="Calibri" w:cs="Calibri"/>
          <w:i/>
          <w:iCs/>
          <w:sz w:val="18"/>
          <w:szCs w:val="18"/>
        </w:rPr>
        <w:t>fruição</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sem</w:t>
      </w:r>
      <w:proofErr w:type="spellEnd"/>
      <w:r w:rsidR="00AA5B73" w:rsidRPr="00793B77">
        <w:rPr>
          <w:rFonts w:ascii="Calibri" w:hAnsi="Calibri" w:cs="Calibri"/>
          <w:i/>
          <w:iCs/>
          <w:sz w:val="18"/>
          <w:szCs w:val="18"/>
        </w:rPr>
        <w:t xml:space="preserve"> que </w:t>
      </w:r>
      <w:proofErr w:type="spellStart"/>
      <w:r w:rsidR="00AA5B73" w:rsidRPr="00793B77">
        <w:rPr>
          <w:rFonts w:ascii="Calibri" w:hAnsi="Calibri" w:cs="Calibri"/>
          <w:i/>
          <w:iCs/>
          <w:sz w:val="18"/>
          <w:szCs w:val="18"/>
        </w:rPr>
        <w:t>haja</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uma</w:t>
      </w:r>
      <w:proofErr w:type="spellEnd"/>
      <w:r w:rsidR="00AA5B73" w:rsidRPr="00793B77">
        <w:rPr>
          <w:rFonts w:ascii="Calibri" w:hAnsi="Calibri" w:cs="Calibri"/>
          <w:i/>
          <w:iCs/>
          <w:sz w:val="18"/>
          <w:szCs w:val="18"/>
        </w:rPr>
        <w:t xml:space="preserve"> medida </w:t>
      </w:r>
      <w:proofErr w:type="spellStart"/>
      <w:r w:rsidR="00AA5B73" w:rsidRPr="00793B77">
        <w:rPr>
          <w:rFonts w:ascii="Calibri" w:hAnsi="Calibri" w:cs="Calibri"/>
          <w:i/>
          <w:iCs/>
          <w:sz w:val="18"/>
          <w:szCs w:val="18"/>
        </w:rPr>
        <w:t>compensatória</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efetiva</w:t>
      </w:r>
      <w:proofErr w:type="spellEnd"/>
      <w:r w:rsidR="00AA5B73" w:rsidRPr="00793B77">
        <w:rPr>
          <w:rFonts w:ascii="Calibri" w:hAnsi="Calibri" w:cs="Calibri"/>
          <w:i/>
          <w:iCs/>
          <w:sz w:val="18"/>
          <w:szCs w:val="18"/>
        </w:rPr>
        <w:t xml:space="preserve"> </w:t>
      </w:r>
      <w:proofErr w:type="spellStart"/>
      <w:r w:rsidR="00AA5B73" w:rsidRPr="00793B77">
        <w:rPr>
          <w:rFonts w:ascii="Calibri" w:hAnsi="Calibri" w:cs="Calibri"/>
          <w:i/>
          <w:iCs/>
          <w:sz w:val="18"/>
          <w:szCs w:val="18"/>
        </w:rPr>
        <w:t>correspondente</w:t>
      </w:r>
      <w:proofErr w:type="spellEnd"/>
      <w:r w:rsidR="00AA5B73" w:rsidRPr="00793B77">
        <w:rPr>
          <w:rFonts w:ascii="Calibri" w:hAnsi="Calibri" w:cs="Calibri"/>
          <w:i/>
          <w:iCs/>
          <w:sz w:val="18"/>
          <w:szCs w:val="18"/>
        </w:rPr>
        <w:t>”</w:t>
      </w:r>
      <w:r w:rsidR="00AA5B73" w:rsidRPr="0044733A">
        <w:rPr>
          <w:rFonts w:ascii="Calibri" w:hAnsi="Calibri" w:cs="Calibri"/>
          <w:sz w:val="18"/>
          <w:szCs w:val="18"/>
        </w:rPr>
        <w:t xml:space="preserve">. </w:t>
      </w:r>
      <w:r w:rsidRPr="0044733A">
        <w:rPr>
          <w:rFonts w:ascii="Calibri" w:hAnsi="Calibri" w:cs="Calibri"/>
          <w:sz w:val="18"/>
          <w:szCs w:val="18"/>
          <w:lang w:val="es-MX"/>
        </w:rPr>
        <w:t>Magela Melo, Geraldo (</w:t>
      </w:r>
      <w:r w:rsidR="004F16CE" w:rsidRPr="0044733A">
        <w:rPr>
          <w:rFonts w:ascii="Calibri" w:hAnsi="Calibri" w:cs="Calibri"/>
          <w:sz w:val="18"/>
          <w:szCs w:val="18"/>
          <w:lang w:val="es-MX"/>
        </w:rPr>
        <w:t>2010)</w:t>
      </w:r>
      <w:r w:rsidR="0032104D" w:rsidRPr="0044733A">
        <w:rPr>
          <w:rFonts w:ascii="Calibri" w:hAnsi="Calibri" w:cs="Calibri"/>
          <w:sz w:val="18"/>
          <w:szCs w:val="18"/>
          <w:lang w:val="es-MX"/>
        </w:rPr>
        <w:t xml:space="preserve">. A </w:t>
      </w:r>
      <w:proofErr w:type="spellStart"/>
      <w:r w:rsidR="004C347E" w:rsidRPr="0044733A">
        <w:rPr>
          <w:rFonts w:ascii="Calibri" w:hAnsi="Calibri" w:cs="Calibri"/>
          <w:sz w:val="18"/>
          <w:szCs w:val="18"/>
        </w:rPr>
        <w:t>vedação</w:t>
      </w:r>
      <w:proofErr w:type="spellEnd"/>
      <w:r w:rsidR="004C347E" w:rsidRPr="0044733A">
        <w:rPr>
          <w:rFonts w:ascii="Calibri" w:hAnsi="Calibri" w:cs="Calibri"/>
          <w:sz w:val="18"/>
          <w:szCs w:val="18"/>
        </w:rPr>
        <w:t xml:space="preserve"> </w:t>
      </w:r>
      <w:proofErr w:type="spellStart"/>
      <w:r w:rsidR="004C347E" w:rsidRPr="0044733A">
        <w:rPr>
          <w:rFonts w:ascii="Calibri" w:hAnsi="Calibri" w:cs="Calibri"/>
          <w:sz w:val="18"/>
          <w:szCs w:val="18"/>
        </w:rPr>
        <w:t>ao</w:t>
      </w:r>
      <w:proofErr w:type="spellEnd"/>
      <w:r w:rsidR="004C347E" w:rsidRPr="0044733A">
        <w:rPr>
          <w:rFonts w:ascii="Calibri" w:hAnsi="Calibri" w:cs="Calibri"/>
          <w:sz w:val="18"/>
          <w:szCs w:val="18"/>
        </w:rPr>
        <w:t xml:space="preserve"> </w:t>
      </w:r>
      <w:proofErr w:type="spellStart"/>
      <w:r w:rsidR="004C347E" w:rsidRPr="0044733A">
        <w:rPr>
          <w:rFonts w:ascii="Calibri" w:hAnsi="Calibri" w:cs="Calibri"/>
          <w:sz w:val="18"/>
          <w:szCs w:val="18"/>
        </w:rPr>
        <w:t>retrocesso</w:t>
      </w:r>
      <w:proofErr w:type="spellEnd"/>
      <w:r w:rsidR="004C347E" w:rsidRPr="0044733A">
        <w:rPr>
          <w:rFonts w:ascii="Calibri" w:hAnsi="Calibri" w:cs="Calibri"/>
          <w:sz w:val="18"/>
          <w:szCs w:val="18"/>
        </w:rPr>
        <w:t xml:space="preserve"> e o direito do </w:t>
      </w:r>
      <w:r w:rsidR="00645A66" w:rsidRPr="0044733A">
        <w:rPr>
          <w:rFonts w:ascii="Calibri" w:hAnsi="Calibri" w:cs="Calibri"/>
          <w:sz w:val="18"/>
          <w:szCs w:val="18"/>
        </w:rPr>
        <w:t xml:space="preserve">Trabalho. En Rev. </w:t>
      </w:r>
      <w:proofErr w:type="spellStart"/>
      <w:r w:rsidR="00645A66" w:rsidRPr="0044733A">
        <w:rPr>
          <w:rFonts w:ascii="Calibri" w:hAnsi="Calibri" w:cs="Calibri"/>
          <w:sz w:val="18"/>
          <w:szCs w:val="18"/>
        </w:rPr>
        <w:t>Trib</w:t>
      </w:r>
      <w:proofErr w:type="spellEnd"/>
      <w:r w:rsidR="00645A66" w:rsidRPr="0044733A">
        <w:rPr>
          <w:rFonts w:ascii="Calibri" w:hAnsi="Calibri" w:cs="Calibri"/>
          <w:sz w:val="18"/>
          <w:szCs w:val="18"/>
        </w:rPr>
        <w:t xml:space="preserve">. Reg. </w:t>
      </w:r>
      <w:proofErr w:type="spellStart"/>
      <w:r w:rsidR="00645A66" w:rsidRPr="0044733A">
        <w:rPr>
          <w:rFonts w:ascii="Calibri" w:hAnsi="Calibri" w:cs="Calibri"/>
          <w:sz w:val="18"/>
          <w:szCs w:val="18"/>
        </w:rPr>
        <w:t>Trab</w:t>
      </w:r>
      <w:proofErr w:type="spellEnd"/>
      <w:r w:rsidR="00645A66" w:rsidRPr="0044733A">
        <w:rPr>
          <w:rFonts w:ascii="Calibri" w:hAnsi="Calibri" w:cs="Calibri"/>
          <w:sz w:val="18"/>
          <w:szCs w:val="18"/>
        </w:rPr>
        <w:t>. 3ª Reg., Belo Horizonte, v.52, n.82, p.65-74</w:t>
      </w:r>
      <w:r w:rsidR="00B06F35" w:rsidRPr="0044733A">
        <w:rPr>
          <w:rFonts w:ascii="Calibri" w:hAnsi="Calibri" w:cs="Calibri"/>
          <w:sz w:val="18"/>
          <w:szCs w:val="18"/>
        </w:rPr>
        <w:t>. Brasil</w:t>
      </w:r>
      <w:r w:rsidR="00CB0A35" w:rsidRPr="0044733A">
        <w:rPr>
          <w:rFonts w:ascii="Calibri" w:hAnsi="Calibri" w:cs="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80" w:type="pct"/>
      <w:shd w:val="clear" w:color="auto" w:fill="D9D9D9" w:themeFill="background1" w:themeFillShade="D9"/>
      <w:tblCellMar>
        <w:top w:w="72" w:type="dxa"/>
        <w:left w:w="115" w:type="dxa"/>
        <w:bottom w:w="72" w:type="dxa"/>
        <w:right w:w="115" w:type="dxa"/>
      </w:tblCellMar>
      <w:tblLook w:val="04A0" w:firstRow="1" w:lastRow="0" w:firstColumn="1" w:lastColumn="0" w:noHBand="0" w:noVBand="1"/>
    </w:tblPr>
    <w:tblGrid>
      <w:gridCol w:w="2998"/>
      <w:gridCol w:w="6152"/>
    </w:tblGrid>
    <w:tr w:rsidR="00341192" w14:paraId="7FE135CA" w14:textId="77777777" w:rsidTr="00C01A52">
      <w:trPr>
        <w:trHeight w:val="766"/>
      </w:trPr>
      <w:tc>
        <w:tcPr>
          <w:tcW w:w="1638" w:type="pct"/>
          <w:shd w:val="clear" w:color="auto" w:fill="D9D9D9" w:themeFill="background1" w:themeFillShade="D9"/>
          <w:vAlign w:val="bottom"/>
        </w:tcPr>
        <w:p w14:paraId="25838C76" w14:textId="77777777" w:rsidR="00341192" w:rsidRDefault="00341192" w:rsidP="00341192">
          <w:pPr>
            <w:pStyle w:val="Encabezado"/>
            <w:spacing w:line="254" w:lineRule="auto"/>
            <w:jc w:val="right"/>
            <w:rPr>
              <w:color w:val="124F1A" w:themeColor="accent3" w:themeShade="BF"/>
              <w:sz w:val="24"/>
              <w:szCs w:val="24"/>
            </w:rPr>
          </w:pPr>
        </w:p>
      </w:tc>
      <w:sdt>
        <w:sdtPr>
          <w:rPr>
            <w:rFonts w:ascii="Britannic Bold" w:hAnsi="Britannic Bold"/>
            <w:b/>
            <w:sz w:val="40"/>
            <w:szCs w:val="40"/>
          </w:rPr>
          <w:alias w:val="Fecha"/>
          <w:id w:val="-143125269"/>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3362" w:type="pct"/>
              <w:shd w:val="clear" w:color="auto" w:fill="D9D9D9" w:themeFill="background1" w:themeFillShade="D9"/>
              <w:vAlign w:val="bottom"/>
              <w:hideMark/>
            </w:tcPr>
            <w:p w14:paraId="42B048AF" w14:textId="7D87B7C9" w:rsidR="00341192" w:rsidRDefault="00341192" w:rsidP="00341192">
              <w:pPr>
                <w:pStyle w:val="Encabezado"/>
                <w:spacing w:line="254" w:lineRule="auto"/>
                <w:jc w:val="center"/>
                <w:rPr>
                  <w:rFonts w:ascii="Britannic Bold" w:hAnsi="Britannic Bold"/>
                  <w:b/>
                  <w:sz w:val="40"/>
                  <w:szCs w:val="40"/>
                </w:rPr>
              </w:pPr>
              <w:r>
                <w:rPr>
                  <w:rFonts w:ascii="Britannic Bold" w:hAnsi="Britannic Bold"/>
                  <w:b/>
                  <w:sz w:val="40"/>
                  <w:szCs w:val="40"/>
                </w:rPr>
                <w:t>REVISTA IURIS DICTIO PERÚ</w:t>
              </w:r>
            </w:p>
          </w:tc>
        </w:sdtContent>
      </w:sdt>
    </w:tr>
  </w:tbl>
  <w:p w14:paraId="10118F73" w14:textId="22075A3B" w:rsidR="00341192" w:rsidRDefault="00341192">
    <w:pPr>
      <w:pStyle w:val="Encabezado"/>
    </w:pPr>
    <w:r>
      <w:rPr>
        <w:noProof/>
      </w:rPr>
      <mc:AlternateContent>
        <mc:Choice Requires="wps">
          <w:drawing>
            <wp:anchor distT="0" distB="0" distL="114300" distR="114300" simplePos="0" relativeHeight="251659264" behindDoc="0" locked="0" layoutInCell="1" allowOverlap="1" wp14:anchorId="1DFE6F61" wp14:editId="45039569">
              <wp:simplePos x="0" y="0"/>
              <wp:positionH relativeFrom="column">
                <wp:posOffset>5902325</wp:posOffset>
              </wp:positionH>
              <wp:positionV relativeFrom="paragraph">
                <wp:posOffset>100965</wp:posOffset>
              </wp:positionV>
              <wp:extent cx="544830" cy="3609975"/>
              <wp:effectExtent l="0" t="0" r="7620" b="9525"/>
              <wp:wrapNone/>
              <wp:docPr id="3" name="Rectángulo 3"/>
              <wp:cNvGraphicFramePr/>
              <a:graphic xmlns:a="http://schemas.openxmlformats.org/drawingml/2006/main">
                <a:graphicData uri="http://schemas.microsoft.com/office/word/2010/wordprocessingShape">
                  <wps:wsp>
                    <wps:cNvSpPr/>
                    <wps:spPr>
                      <a:xfrm>
                        <a:off x="0" y="0"/>
                        <a:ext cx="544830" cy="360997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8D9D55" w14:textId="77777777" w:rsidR="00341192" w:rsidRDefault="00341192" w:rsidP="00341192">
                          <w:pPr>
                            <w:pStyle w:val="Sinespaciado"/>
                            <w:jc w:val="center"/>
                            <w:rPr>
                              <w:rFonts w:ascii="Agency FB" w:hAnsi="Agency FB"/>
                              <w:color w:val="000000" w:themeColor="text1"/>
                            </w:rPr>
                          </w:pPr>
                          <w:r>
                            <w:rPr>
                              <w:rFonts w:ascii="Agency FB" w:hAnsi="Agency FB"/>
                              <w:color w:val="000000" w:themeColor="text1"/>
                            </w:rPr>
                            <w:t>Sección Derecho del Empleo Público</w:t>
                          </w:r>
                        </w:p>
                        <w:p w14:paraId="73D9935A" w14:textId="538F3A85" w:rsidR="00341192" w:rsidRDefault="00341192" w:rsidP="00341192">
                          <w:pPr>
                            <w:pStyle w:val="Sinespaciado"/>
                            <w:jc w:val="center"/>
                            <w:rPr>
                              <w:rFonts w:ascii="Agency FB" w:hAnsi="Agency FB"/>
                              <w:color w:val="000000" w:themeColor="text1"/>
                            </w:rPr>
                          </w:pPr>
                          <w:r>
                            <w:rPr>
                              <w:rFonts w:ascii="Agency FB" w:hAnsi="Agency FB"/>
                              <w:color w:val="000000" w:themeColor="text1"/>
                            </w:rPr>
                            <w:t>N</w:t>
                          </w:r>
                          <w:r w:rsidR="00F95707">
                            <w:rPr>
                              <w:rFonts w:ascii="Agency FB" w:hAnsi="Agency FB"/>
                              <w:color w:val="000000" w:themeColor="text1"/>
                            </w:rPr>
                            <w:t>i</w:t>
                          </w:r>
                          <w:r>
                            <w:rPr>
                              <w:rFonts w:ascii="Agency FB" w:hAnsi="Agency FB"/>
                              <w:color w:val="000000" w:themeColor="text1"/>
                            </w:rPr>
                            <w:t>velación</w:t>
                          </w:r>
                          <w:r>
                            <w:rPr>
                              <w:rFonts w:ascii="Agency FB" w:hAnsi="Agency FB"/>
                              <w:color w:val="000000" w:themeColor="text1"/>
                            </w:rPr>
                            <w:t xml:space="preserve"> de remuneraciones - Autor José María Pacori Cari</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6F61" id="Rectángulo 3" o:spid="_x0000_s1029" style="position:absolute;margin-left:464.75pt;margin-top:7.95pt;width:42.9pt;height:2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" fillcolor="#d8d8d8 [2732]" stroked="f" strokeweight="1pt">
              <v:textbox style="layout-flow:vertical;mso-layout-flow-alt:bottom-to-top">
                <w:txbxContent>
                  <w:p w14:paraId="208D9D55" w14:textId="77777777" w:rsidR="00341192" w:rsidRDefault="00341192" w:rsidP="00341192">
                    <w:pPr>
                      <w:pStyle w:val="Sinespaciado"/>
                      <w:jc w:val="center"/>
                      <w:rPr>
                        <w:rFonts w:ascii="Agency FB" w:hAnsi="Agency FB"/>
                        <w:color w:val="000000" w:themeColor="text1"/>
                      </w:rPr>
                    </w:pPr>
                    <w:r>
                      <w:rPr>
                        <w:rFonts w:ascii="Agency FB" w:hAnsi="Agency FB"/>
                        <w:color w:val="000000" w:themeColor="text1"/>
                      </w:rPr>
                      <w:t>Sección Derecho del Empleo Público</w:t>
                    </w:r>
                  </w:p>
                  <w:p w14:paraId="73D9935A" w14:textId="538F3A85" w:rsidR="00341192" w:rsidRDefault="00341192" w:rsidP="00341192">
                    <w:pPr>
                      <w:pStyle w:val="Sinespaciado"/>
                      <w:jc w:val="center"/>
                      <w:rPr>
                        <w:rFonts w:ascii="Agency FB" w:hAnsi="Agency FB"/>
                        <w:color w:val="000000" w:themeColor="text1"/>
                      </w:rPr>
                    </w:pPr>
                    <w:r>
                      <w:rPr>
                        <w:rFonts w:ascii="Agency FB" w:hAnsi="Agency FB"/>
                        <w:color w:val="000000" w:themeColor="text1"/>
                      </w:rPr>
                      <w:t>N</w:t>
                    </w:r>
                    <w:r w:rsidR="00F95707">
                      <w:rPr>
                        <w:rFonts w:ascii="Agency FB" w:hAnsi="Agency FB"/>
                        <w:color w:val="000000" w:themeColor="text1"/>
                      </w:rPr>
                      <w:t>i</w:t>
                    </w:r>
                    <w:r>
                      <w:rPr>
                        <w:rFonts w:ascii="Agency FB" w:hAnsi="Agency FB"/>
                        <w:color w:val="000000" w:themeColor="text1"/>
                      </w:rPr>
                      <w:t>velación</w:t>
                    </w:r>
                    <w:r>
                      <w:rPr>
                        <w:rFonts w:ascii="Agency FB" w:hAnsi="Agency FB"/>
                        <w:color w:val="000000" w:themeColor="text1"/>
                      </w:rPr>
                      <w:t xml:space="preserve"> de remuneraciones - Autor José María Pacori Cari</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5B040" w14:textId="4F08F551" w:rsidR="00F95707" w:rsidRPr="00F95707" w:rsidRDefault="00F95707" w:rsidP="00F9570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05D12"/>
    <w:multiLevelType w:val="multilevel"/>
    <w:tmpl w:val="AC6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93B01"/>
    <w:multiLevelType w:val="multilevel"/>
    <w:tmpl w:val="A1F4A32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8547EF"/>
    <w:multiLevelType w:val="hybridMultilevel"/>
    <w:tmpl w:val="C2282A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82F063D"/>
    <w:multiLevelType w:val="multilevel"/>
    <w:tmpl w:val="E7DA5D2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F14C32"/>
    <w:multiLevelType w:val="hybridMultilevel"/>
    <w:tmpl w:val="9F9EDA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0B12251"/>
    <w:multiLevelType w:val="hybridMultilevel"/>
    <w:tmpl w:val="5922C2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64B26C9"/>
    <w:multiLevelType w:val="hybridMultilevel"/>
    <w:tmpl w:val="6B9224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88800A2"/>
    <w:multiLevelType w:val="hybridMultilevel"/>
    <w:tmpl w:val="DB5CEE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66F60B6"/>
    <w:multiLevelType w:val="hybridMultilevel"/>
    <w:tmpl w:val="E5EE9D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7EA84944"/>
    <w:multiLevelType w:val="hybridMultilevel"/>
    <w:tmpl w:val="E7F6791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485367502">
    <w:abstractNumId w:val="8"/>
  </w:num>
  <w:num w:numId="2" w16cid:durableId="1966153759">
    <w:abstractNumId w:val="9"/>
  </w:num>
  <w:num w:numId="3" w16cid:durableId="1991594704">
    <w:abstractNumId w:val="2"/>
  </w:num>
  <w:num w:numId="4" w16cid:durableId="1109548864">
    <w:abstractNumId w:val="5"/>
  </w:num>
  <w:num w:numId="5" w16cid:durableId="1044872015">
    <w:abstractNumId w:val="6"/>
  </w:num>
  <w:num w:numId="6" w16cid:durableId="1355570283">
    <w:abstractNumId w:val="4"/>
  </w:num>
  <w:num w:numId="7" w16cid:durableId="1968927039">
    <w:abstractNumId w:val="1"/>
  </w:num>
  <w:num w:numId="8" w16cid:durableId="514463969">
    <w:abstractNumId w:val="3"/>
  </w:num>
  <w:num w:numId="9" w16cid:durableId="1926962680">
    <w:abstractNumId w:val="7"/>
  </w:num>
  <w:num w:numId="10" w16cid:durableId="16830439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CD"/>
    <w:rsid w:val="00007104"/>
    <w:rsid w:val="00007BFF"/>
    <w:rsid w:val="00013981"/>
    <w:rsid w:val="00030E32"/>
    <w:rsid w:val="000423DF"/>
    <w:rsid w:val="000606F2"/>
    <w:rsid w:val="00061BAE"/>
    <w:rsid w:val="000749DA"/>
    <w:rsid w:val="0007693E"/>
    <w:rsid w:val="00086C01"/>
    <w:rsid w:val="00091E89"/>
    <w:rsid w:val="000952D4"/>
    <w:rsid w:val="00095794"/>
    <w:rsid w:val="000B1111"/>
    <w:rsid w:val="000B765F"/>
    <w:rsid w:val="000C4E4C"/>
    <w:rsid w:val="000D1523"/>
    <w:rsid w:val="000F6D4A"/>
    <w:rsid w:val="001202B5"/>
    <w:rsid w:val="00136109"/>
    <w:rsid w:val="00137539"/>
    <w:rsid w:val="00145BA3"/>
    <w:rsid w:val="00146AFD"/>
    <w:rsid w:val="001479F6"/>
    <w:rsid w:val="00151970"/>
    <w:rsid w:val="00151C1B"/>
    <w:rsid w:val="00156B76"/>
    <w:rsid w:val="00156C41"/>
    <w:rsid w:val="00161B5D"/>
    <w:rsid w:val="001A7E3B"/>
    <w:rsid w:val="001B26AA"/>
    <w:rsid w:val="001C7370"/>
    <w:rsid w:val="001E229B"/>
    <w:rsid w:val="001E5A04"/>
    <w:rsid w:val="001E6C9B"/>
    <w:rsid w:val="001F1D22"/>
    <w:rsid w:val="002049DA"/>
    <w:rsid w:val="0020754E"/>
    <w:rsid w:val="00216CD5"/>
    <w:rsid w:val="00225942"/>
    <w:rsid w:val="002325F4"/>
    <w:rsid w:val="00242640"/>
    <w:rsid w:val="00252F5B"/>
    <w:rsid w:val="0026317B"/>
    <w:rsid w:val="00270D61"/>
    <w:rsid w:val="00287827"/>
    <w:rsid w:val="002921CB"/>
    <w:rsid w:val="002A4549"/>
    <w:rsid w:val="002D4675"/>
    <w:rsid w:val="002E3BC0"/>
    <w:rsid w:val="002F052A"/>
    <w:rsid w:val="002F590C"/>
    <w:rsid w:val="002F7381"/>
    <w:rsid w:val="0032104D"/>
    <w:rsid w:val="003270AB"/>
    <w:rsid w:val="00341192"/>
    <w:rsid w:val="003459A3"/>
    <w:rsid w:val="00361A00"/>
    <w:rsid w:val="00376D46"/>
    <w:rsid w:val="0038106D"/>
    <w:rsid w:val="0038365F"/>
    <w:rsid w:val="00390E8C"/>
    <w:rsid w:val="0039522B"/>
    <w:rsid w:val="003952E4"/>
    <w:rsid w:val="003968DE"/>
    <w:rsid w:val="003A6B2A"/>
    <w:rsid w:val="003C1B1D"/>
    <w:rsid w:val="003C395C"/>
    <w:rsid w:val="003D3B98"/>
    <w:rsid w:val="003E03D5"/>
    <w:rsid w:val="003F231B"/>
    <w:rsid w:val="003F2420"/>
    <w:rsid w:val="003F6721"/>
    <w:rsid w:val="00416CBA"/>
    <w:rsid w:val="00420A8E"/>
    <w:rsid w:val="00421A9B"/>
    <w:rsid w:val="0043497E"/>
    <w:rsid w:val="004379DF"/>
    <w:rsid w:val="004403B7"/>
    <w:rsid w:val="00442C76"/>
    <w:rsid w:val="0044681F"/>
    <w:rsid w:val="0044733A"/>
    <w:rsid w:val="00475CEF"/>
    <w:rsid w:val="0048607F"/>
    <w:rsid w:val="004865A9"/>
    <w:rsid w:val="004A627E"/>
    <w:rsid w:val="004B096E"/>
    <w:rsid w:val="004C347E"/>
    <w:rsid w:val="004C39A9"/>
    <w:rsid w:val="004C7C2E"/>
    <w:rsid w:val="004D0101"/>
    <w:rsid w:val="004D2157"/>
    <w:rsid w:val="004E0256"/>
    <w:rsid w:val="004E2BB9"/>
    <w:rsid w:val="004F16CE"/>
    <w:rsid w:val="004F6655"/>
    <w:rsid w:val="00501A7F"/>
    <w:rsid w:val="00505BE5"/>
    <w:rsid w:val="005100A4"/>
    <w:rsid w:val="00510AF6"/>
    <w:rsid w:val="00511B74"/>
    <w:rsid w:val="00512F93"/>
    <w:rsid w:val="005167A9"/>
    <w:rsid w:val="005167E8"/>
    <w:rsid w:val="00525164"/>
    <w:rsid w:val="00535366"/>
    <w:rsid w:val="0054478C"/>
    <w:rsid w:val="005460A2"/>
    <w:rsid w:val="0055266A"/>
    <w:rsid w:val="005561B1"/>
    <w:rsid w:val="00567FBA"/>
    <w:rsid w:val="00581123"/>
    <w:rsid w:val="005811D5"/>
    <w:rsid w:val="00591BDE"/>
    <w:rsid w:val="005946BA"/>
    <w:rsid w:val="005C1A53"/>
    <w:rsid w:val="005C2871"/>
    <w:rsid w:val="005C2A1C"/>
    <w:rsid w:val="005C352E"/>
    <w:rsid w:val="005D2246"/>
    <w:rsid w:val="005E6EF3"/>
    <w:rsid w:val="005F4768"/>
    <w:rsid w:val="0060074E"/>
    <w:rsid w:val="00602B55"/>
    <w:rsid w:val="00606507"/>
    <w:rsid w:val="00611BE2"/>
    <w:rsid w:val="00613897"/>
    <w:rsid w:val="00615A2C"/>
    <w:rsid w:val="00616CF0"/>
    <w:rsid w:val="00620AEF"/>
    <w:rsid w:val="00621203"/>
    <w:rsid w:val="006233A8"/>
    <w:rsid w:val="00624351"/>
    <w:rsid w:val="00631F0F"/>
    <w:rsid w:val="00645A66"/>
    <w:rsid w:val="006631A0"/>
    <w:rsid w:val="00667AE8"/>
    <w:rsid w:val="0069577C"/>
    <w:rsid w:val="00697261"/>
    <w:rsid w:val="006A247B"/>
    <w:rsid w:val="006A7729"/>
    <w:rsid w:val="006B383B"/>
    <w:rsid w:val="006B3DD1"/>
    <w:rsid w:val="007231EE"/>
    <w:rsid w:val="007305EC"/>
    <w:rsid w:val="007451F0"/>
    <w:rsid w:val="00754C91"/>
    <w:rsid w:val="007629DD"/>
    <w:rsid w:val="00764F7D"/>
    <w:rsid w:val="00774325"/>
    <w:rsid w:val="00791763"/>
    <w:rsid w:val="00793B77"/>
    <w:rsid w:val="00795DBB"/>
    <w:rsid w:val="007B61AB"/>
    <w:rsid w:val="007C079D"/>
    <w:rsid w:val="007C6C26"/>
    <w:rsid w:val="00816607"/>
    <w:rsid w:val="00816B62"/>
    <w:rsid w:val="00843003"/>
    <w:rsid w:val="0084462A"/>
    <w:rsid w:val="00853155"/>
    <w:rsid w:val="00863F49"/>
    <w:rsid w:val="0088004A"/>
    <w:rsid w:val="00897025"/>
    <w:rsid w:val="008A38F0"/>
    <w:rsid w:val="008B53BB"/>
    <w:rsid w:val="008D69D8"/>
    <w:rsid w:val="008F0E3B"/>
    <w:rsid w:val="008F2E28"/>
    <w:rsid w:val="008F2FF4"/>
    <w:rsid w:val="00901223"/>
    <w:rsid w:val="00901B1B"/>
    <w:rsid w:val="0092055C"/>
    <w:rsid w:val="009346B9"/>
    <w:rsid w:val="009475B6"/>
    <w:rsid w:val="00951EC0"/>
    <w:rsid w:val="00953F0E"/>
    <w:rsid w:val="009565FD"/>
    <w:rsid w:val="0095694F"/>
    <w:rsid w:val="009610CA"/>
    <w:rsid w:val="009707D4"/>
    <w:rsid w:val="009778D5"/>
    <w:rsid w:val="009A0F79"/>
    <w:rsid w:val="009B1A3E"/>
    <w:rsid w:val="009C1185"/>
    <w:rsid w:val="009C5514"/>
    <w:rsid w:val="009D5BE1"/>
    <w:rsid w:val="009E13DA"/>
    <w:rsid w:val="009E1693"/>
    <w:rsid w:val="009F3F3C"/>
    <w:rsid w:val="00A00CC5"/>
    <w:rsid w:val="00A10BB6"/>
    <w:rsid w:val="00A14FC7"/>
    <w:rsid w:val="00A208DF"/>
    <w:rsid w:val="00A20971"/>
    <w:rsid w:val="00A337E2"/>
    <w:rsid w:val="00A35EA1"/>
    <w:rsid w:val="00A43890"/>
    <w:rsid w:val="00A577CE"/>
    <w:rsid w:val="00A67C49"/>
    <w:rsid w:val="00A75650"/>
    <w:rsid w:val="00A76C30"/>
    <w:rsid w:val="00A81302"/>
    <w:rsid w:val="00A8357B"/>
    <w:rsid w:val="00AA2C41"/>
    <w:rsid w:val="00AA5B73"/>
    <w:rsid w:val="00AA66B6"/>
    <w:rsid w:val="00AA7EB6"/>
    <w:rsid w:val="00AB2B60"/>
    <w:rsid w:val="00AC165C"/>
    <w:rsid w:val="00AC1FCD"/>
    <w:rsid w:val="00AD6159"/>
    <w:rsid w:val="00AE51B1"/>
    <w:rsid w:val="00B02203"/>
    <w:rsid w:val="00B042EC"/>
    <w:rsid w:val="00B05A71"/>
    <w:rsid w:val="00B05F03"/>
    <w:rsid w:val="00B06F35"/>
    <w:rsid w:val="00B11607"/>
    <w:rsid w:val="00B12F03"/>
    <w:rsid w:val="00B17FE1"/>
    <w:rsid w:val="00B445DD"/>
    <w:rsid w:val="00B46CB0"/>
    <w:rsid w:val="00B638A7"/>
    <w:rsid w:val="00B665F6"/>
    <w:rsid w:val="00B76447"/>
    <w:rsid w:val="00B77176"/>
    <w:rsid w:val="00B77266"/>
    <w:rsid w:val="00B8298D"/>
    <w:rsid w:val="00B830D0"/>
    <w:rsid w:val="00B91157"/>
    <w:rsid w:val="00B95DE0"/>
    <w:rsid w:val="00B9766F"/>
    <w:rsid w:val="00BA26A2"/>
    <w:rsid w:val="00BA318B"/>
    <w:rsid w:val="00BB4D3A"/>
    <w:rsid w:val="00BB5E85"/>
    <w:rsid w:val="00BC3686"/>
    <w:rsid w:val="00BD16D1"/>
    <w:rsid w:val="00BF4FB0"/>
    <w:rsid w:val="00C1791F"/>
    <w:rsid w:val="00C20C1D"/>
    <w:rsid w:val="00C20F9D"/>
    <w:rsid w:val="00C263C0"/>
    <w:rsid w:val="00C363D8"/>
    <w:rsid w:val="00C4638D"/>
    <w:rsid w:val="00C4650A"/>
    <w:rsid w:val="00C51073"/>
    <w:rsid w:val="00C648BC"/>
    <w:rsid w:val="00C8242A"/>
    <w:rsid w:val="00C86144"/>
    <w:rsid w:val="00C92BC5"/>
    <w:rsid w:val="00C94F06"/>
    <w:rsid w:val="00CA5E3F"/>
    <w:rsid w:val="00CB0A35"/>
    <w:rsid w:val="00CB1C37"/>
    <w:rsid w:val="00CB3D8C"/>
    <w:rsid w:val="00CC5558"/>
    <w:rsid w:val="00CD287E"/>
    <w:rsid w:val="00CD3193"/>
    <w:rsid w:val="00CD3984"/>
    <w:rsid w:val="00CD4B18"/>
    <w:rsid w:val="00D266B5"/>
    <w:rsid w:val="00D4074D"/>
    <w:rsid w:val="00D43ECE"/>
    <w:rsid w:val="00D449B9"/>
    <w:rsid w:val="00D44EDA"/>
    <w:rsid w:val="00D5647E"/>
    <w:rsid w:val="00D81AC7"/>
    <w:rsid w:val="00DC0289"/>
    <w:rsid w:val="00E056A8"/>
    <w:rsid w:val="00E37001"/>
    <w:rsid w:val="00E426DB"/>
    <w:rsid w:val="00E450F4"/>
    <w:rsid w:val="00E61FED"/>
    <w:rsid w:val="00E8055D"/>
    <w:rsid w:val="00E833DE"/>
    <w:rsid w:val="00E8482F"/>
    <w:rsid w:val="00EA39D7"/>
    <w:rsid w:val="00EA3BD2"/>
    <w:rsid w:val="00EA3CE7"/>
    <w:rsid w:val="00EC2D35"/>
    <w:rsid w:val="00EC5836"/>
    <w:rsid w:val="00EC7F3C"/>
    <w:rsid w:val="00ED1008"/>
    <w:rsid w:val="00ED71BA"/>
    <w:rsid w:val="00EE185B"/>
    <w:rsid w:val="00EE2B78"/>
    <w:rsid w:val="00EE5A5C"/>
    <w:rsid w:val="00F03B91"/>
    <w:rsid w:val="00F134D3"/>
    <w:rsid w:val="00F21E4D"/>
    <w:rsid w:val="00F33CA1"/>
    <w:rsid w:val="00F34046"/>
    <w:rsid w:val="00F40EA1"/>
    <w:rsid w:val="00F41B2D"/>
    <w:rsid w:val="00F42450"/>
    <w:rsid w:val="00F450FF"/>
    <w:rsid w:val="00F6702E"/>
    <w:rsid w:val="00F74301"/>
    <w:rsid w:val="00F83367"/>
    <w:rsid w:val="00F838FB"/>
    <w:rsid w:val="00F95707"/>
    <w:rsid w:val="00FA43C6"/>
    <w:rsid w:val="00FB1FF2"/>
    <w:rsid w:val="00FB26AA"/>
    <w:rsid w:val="00FB5856"/>
    <w:rsid w:val="00FB7E40"/>
    <w:rsid w:val="00FD4E30"/>
    <w:rsid w:val="00FF18AE"/>
    <w:rsid w:val="00FF5648"/>
    <w:rsid w:val="00FF59CC"/>
    <w:rsid w:val="00FF789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0DACF"/>
  <w15:chartTrackingRefBased/>
  <w15:docId w15:val="{F3A267C9-1D26-44E0-BC4C-D2E5E388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F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C1F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1FC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1FC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1FC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1FC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1FC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1FC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1FC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1FC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C1FC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1FC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1FC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1FC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1FC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1FC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1FC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1FCD"/>
    <w:rPr>
      <w:rFonts w:eastAsiaTheme="majorEastAsia" w:cstheme="majorBidi"/>
      <w:color w:val="272727" w:themeColor="text1" w:themeTint="D8"/>
    </w:rPr>
  </w:style>
  <w:style w:type="paragraph" w:styleId="Ttulo">
    <w:name w:val="Title"/>
    <w:basedOn w:val="Normal"/>
    <w:next w:val="Normal"/>
    <w:link w:val="TtuloCar"/>
    <w:uiPriority w:val="10"/>
    <w:qFormat/>
    <w:rsid w:val="00AC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F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1FC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1FC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1FCD"/>
    <w:pPr>
      <w:spacing w:before="160"/>
      <w:jc w:val="center"/>
    </w:pPr>
    <w:rPr>
      <w:i/>
      <w:iCs/>
      <w:color w:val="404040" w:themeColor="text1" w:themeTint="BF"/>
    </w:rPr>
  </w:style>
  <w:style w:type="character" w:customStyle="1" w:styleId="CitaCar">
    <w:name w:val="Cita Car"/>
    <w:basedOn w:val="Fuentedeprrafopredeter"/>
    <w:link w:val="Cita"/>
    <w:uiPriority w:val="29"/>
    <w:rsid w:val="00AC1FCD"/>
    <w:rPr>
      <w:i/>
      <w:iCs/>
      <w:color w:val="404040" w:themeColor="text1" w:themeTint="BF"/>
    </w:rPr>
  </w:style>
  <w:style w:type="paragraph" w:styleId="Prrafodelista">
    <w:name w:val="List Paragraph"/>
    <w:basedOn w:val="Normal"/>
    <w:uiPriority w:val="34"/>
    <w:qFormat/>
    <w:rsid w:val="00AC1FCD"/>
    <w:pPr>
      <w:ind w:left="720"/>
      <w:contextualSpacing/>
    </w:pPr>
  </w:style>
  <w:style w:type="character" w:styleId="nfasisintenso">
    <w:name w:val="Intense Emphasis"/>
    <w:basedOn w:val="Fuentedeprrafopredeter"/>
    <w:uiPriority w:val="21"/>
    <w:qFormat/>
    <w:rsid w:val="00AC1FCD"/>
    <w:rPr>
      <w:i/>
      <w:iCs/>
      <w:color w:val="0F4761" w:themeColor="accent1" w:themeShade="BF"/>
    </w:rPr>
  </w:style>
  <w:style w:type="paragraph" w:styleId="Citadestacada">
    <w:name w:val="Intense Quote"/>
    <w:basedOn w:val="Normal"/>
    <w:next w:val="Normal"/>
    <w:link w:val="CitadestacadaCar"/>
    <w:uiPriority w:val="30"/>
    <w:qFormat/>
    <w:rsid w:val="00AC1F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1FCD"/>
    <w:rPr>
      <w:i/>
      <w:iCs/>
      <w:color w:val="0F4761" w:themeColor="accent1" w:themeShade="BF"/>
    </w:rPr>
  </w:style>
  <w:style w:type="character" w:styleId="Referenciaintensa">
    <w:name w:val="Intense Reference"/>
    <w:basedOn w:val="Fuentedeprrafopredeter"/>
    <w:uiPriority w:val="32"/>
    <w:qFormat/>
    <w:rsid w:val="00AC1FCD"/>
    <w:rPr>
      <w:b/>
      <w:bCs/>
      <w:smallCaps/>
      <w:color w:val="0F4761" w:themeColor="accent1" w:themeShade="BF"/>
      <w:spacing w:val="5"/>
    </w:rPr>
  </w:style>
  <w:style w:type="paragraph" w:styleId="NormalWeb">
    <w:name w:val="Normal (Web)"/>
    <w:basedOn w:val="Normal"/>
    <w:uiPriority w:val="99"/>
    <w:semiHidden/>
    <w:unhideWhenUsed/>
    <w:rsid w:val="009E1693"/>
    <w:rPr>
      <w:rFonts w:ascii="Times New Roman" w:hAnsi="Times New Roman" w:cs="Times New Roman"/>
      <w:sz w:val="24"/>
      <w:szCs w:val="24"/>
    </w:rPr>
  </w:style>
  <w:style w:type="character" w:styleId="Hipervnculo">
    <w:name w:val="Hyperlink"/>
    <w:basedOn w:val="Fuentedeprrafopredeter"/>
    <w:uiPriority w:val="99"/>
    <w:unhideWhenUsed/>
    <w:rsid w:val="009E1693"/>
    <w:rPr>
      <w:color w:val="467886" w:themeColor="hyperlink"/>
      <w:u w:val="single"/>
    </w:rPr>
  </w:style>
  <w:style w:type="character" w:styleId="Mencinsinresolver">
    <w:name w:val="Unresolved Mention"/>
    <w:basedOn w:val="Fuentedeprrafopredeter"/>
    <w:uiPriority w:val="99"/>
    <w:semiHidden/>
    <w:unhideWhenUsed/>
    <w:rsid w:val="009E1693"/>
    <w:rPr>
      <w:color w:val="605E5C"/>
      <w:shd w:val="clear" w:color="auto" w:fill="E1DFDD"/>
    </w:rPr>
  </w:style>
  <w:style w:type="paragraph" w:styleId="Sinespaciado">
    <w:name w:val="No Spacing"/>
    <w:link w:val="SinespaciadoCar"/>
    <w:uiPriority w:val="1"/>
    <w:qFormat/>
    <w:rsid w:val="00774325"/>
    <w:pPr>
      <w:spacing w:after="0" w:line="240" w:lineRule="auto"/>
    </w:pPr>
  </w:style>
  <w:style w:type="paragraph" w:styleId="Textonotapie">
    <w:name w:val="footnote text"/>
    <w:basedOn w:val="Normal"/>
    <w:link w:val="TextonotapieCar"/>
    <w:uiPriority w:val="99"/>
    <w:semiHidden/>
    <w:unhideWhenUsed/>
    <w:rsid w:val="007743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4325"/>
    <w:rPr>
      <w:sz w:val="20"/>
      <w:szCs w:val="20"/>
    </w:rPr>
  </w:style>
  <w:style w:type="character" w:styleId="Refdenotaalpie">
    <w:name w:val="footnote reference"/>
    <w:basedOn w:val="Fuentedeprrafopredeter"/>
    <w:uiPriority w:val="99"/>
    <w:semiHidden/>
    <w:unhideWhenUsed/>
    <w:rsid w:val="00774325"/>
    <w:rPr>
      <w:vertAlign w:val="superscript"/>
    </w:rPr>
  </w:style>
  <w:style w:type="character" w:customStyle="1" w:styleId="SinespaciadoCar">
    <w:name w:val="Sin espaciado Car"/>
    <w:basedOn w:val="Fuentedeprrafopredeter"/>
    <w:link w:val="Sinespaciado"/>
    <w:uiPriority w:val="1"/>
    <w:locked/>
    <w:rsid w:val="0095694F"/>
  </w:style>
  <w:style w:type="table" w:styleId="Tablaconcuadrcula">
    <w:name w:val="Table Grid"/>
    <w:basedOn w:val="Tablanormal"/>
    <w:uiPriority w:val="39"/>
    <w:rsid w:val="00B0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4119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1192"/>
  </w:style>
  <w:style w:type="paragraph" w:styleId="Piedepgina">
    <w:name w:val="footer"/>
    <w:basedOn w:val="Normal"/>
    <w:link w:val="PiedepginaCar"/>
    <w:uiPriority w:val="99"/>
    <w:unhideWhenUsed/>
    <w:rsid w:val="0034119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1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70007">
      <w:bodyDiv w:val="1"/>
      <w:marLeft w:val="0"/>
      <w:marRight w:val="0"/>
      <w:marTop w:val="0"/>
      <w:marBottom w:val="0"/>
      <w:divBdr>
        <w:top w:val="none" w:sz="0" w:space="0" w:color="auto"/>
        <w:left w:val="none" w:sz="0" w:space="0" w:color="auto"/>
        <w:bottom w:val="none" w:sz="0" w:space="0" w:color="auto"/>
        <w:right w:val="none" w:sz="0" w:space="0" w:color="auto"/>
      </w:divBdr>
    </w:div>
    <w:div w:id="126897553">
      <w:bodyDiv w:val="1"/>
      <w:marLeft w:val="0"/>
      <w:marRight w:val="0"/>
      <w:marTop w:val="0"/>
      <w:marBottom w:val="0"/>
      <w:divBdr>
        <w:top w:val="none" w:sz="0" w:space="0" w:color="auto"/>
        <w:left w:val="none" w:sz="0" w:space="0" w:color="auto"/>
        <w:bottom w:val="none" w:sz="0" w:space="0" w:color="auto"/>
        <w:right w:val="none" w:sz="0" w:space="0" w:color="auto"/>
      </w:divBdr>
    </w:div>
    <w:div w:id="242181193">
      <w:bodyDiv w:val="1"/>
      <w:marLeft w:val="0"/>
      <w:marRight w:val="0"/>
      <w:marTop w:val="0"/>
      <w:marBottom w:val="0"/>
      <w:divBdr>
        <w:top w:val="none" w:sz="0" w:space="0" w:color="auto"/>
        <w:left w:val="none" w:sz="0" w:space="0" w:color="auto"/>
        <w:bottom w:val="none" w:sz="0" w:space="0" w:color="auto"/>
        <w:right w:val="none" w:sz="0" w:space="0" w:color="auto"/>
      </w:divBdr>
      <w:divsChild>
        <w:div w:id="360324255">
          <w:marLeft w:val="0"/>
          <w:marRight w:val="0"/>
          <w:marTop w:val="0"/>
          <w:marBottom w:val="0"/>
          <w:divBdr>
            <w:top w:val="single" w:sz="2" w:space="0" w:color="auto"/>
            <w:left w:val="single" w:sz="2" w:space="0" w:color="auto"/>
            <w:bottom w:val="single" w:sz="2" w:space="0" w:color="auto"/>
            <w:right w:val="single" w:sz="2" w:space="0" w:color="auto"/>
          </w:divBdr>
        </w:div>
      </w:divsChild>
    </w:div>
    <w:div w:id="259683386">
      <w:bodyDiv w:val="1"/>
      <w:marLeft w:val="0"/>
      <w:marRight w:val="0"/>
      <w:marTop w:val="0"/>
      <w:marBottom w:val="0"/>
      <w:divBdr>
        <w:top w:val="none" w:sz="0" w:space="0" w:color="auto"/>
        <w:left w:val="none" w:sz="0" w:space="0" w:color="auto"/>
        <w:bottom w:val="none" w:sz="0" w:space="0" w:color="auto"/>
        <w:right w:val="none" w:sz="0" w:space="0" w:color="auto"/>
      </w:divBdr>
    </w:div>
    <w:div w:id="314182447">
      <w:bodyDiv w:val="1"/>
      <w:marLeft w:val="0"/>
      <w:marRight w:val="0"/>
      <w:marTop w:val="0"/>
      <w:marBottom w:val="0"/>
      <w:divBdr>
        <w:top w:val="none" w:sz="0" w:space="0" w:color="auto"/>
        <w:left w:val="none" w:sz="0" w:space="0" w:color="auto"/>
        <w:bottom w:val="none" w:sz="0" w:space="0" w:color="auto"/>
        <w:right w:val="none" w:sz="0" w:space="0" w:color="auto"/>
      </w:divBdr>
    </w:div>
    <w:div w:id="428547079">
      <w:bodyDiv w:val="1"/>
      <w:marLeft w:val="0"/>
      <w:marRight w:val="0"/>
      <w:marTop w:val="0"/>
      <w:marBottom w:val="0"/>
      <w:divBdr>
        <w:top w:val="none" w:sz="0" w:space="0" w:color="auto"/>
        <w:left w:val="none" w:sz="0" w:space="0" w:color="auto"/>
        <w:bottom w:val="none" w:sz="0" w:space="0" w:color="auto"/>
        <w:right w:val="none" w:sz="0" w:space="0" w:color="auto"/>
      </w:divBdr>
    </w:div>
    <w:div w:id="545260961">
      <w:bodyDiv w:val="1"/>
      <w:marLeft w:val="0"/>
      <w:marRight w:val="0"/>
      <w:marTop w:val="0"/>
      <w:marBottom w:val="0"/>
      <w:divBdr>
        <w:top w:val="none" w:sz="0" w:space="0" w:color="auto"/>
        <w:left w:val="none" w:sz="0" w:space="0" w:color="auto"/>
        <w:bottom w:val="none" w:sz="0" w:space="0" w:color="auto"/>
        <w:right w:val="none" w:sz="0" w:space="0" w:color="auto"/>
      </w:divBdr>
    </w:div>
    <w:div w:id="661590034">
      <w:bodyDiv w:val="1"/>
      <w:marLeft w:val="0"/>
      <w:marRight w:val="0"/>
      <w:marTop w:val="0"/>
      <w:marBottom w:val="0"/>
      <w:divBdr>
        <w:top w:val="none" w:sz="0" w:space="0" w:color="auto"/>
        <w:left w:val="none" w:sz="0" w:space="0" w:color="auto"/>
        <w:bottom w:val="none" w:sz="0" w:space="0" w:color="auto"/>
        <w:right w:val="none" w:sz="0" w:space="0" w:color="auto"/>
      </w:divBdr>
    </w:div>
    <w:div w:id="957838376">
      <w:bodyDiv w:val="1"/>
      <w:marLeft w:val="0"/>
      <w:marRight w:val="0"/>
      <w:marTop w:val="0"/>
      <w:marBottom w:val="0"/>
      <w:divBdr>
        <w:top w:val="none" w:sz="0" w:space="0" w:color="auto"/>
        <w:left w:val="none" w:sz="0" w:space="0" w:color="auto"/>
        <w:bottom w:val="none" w:sz="0" w:space="0" w:color="auto"/>
        <w:right w:val="none" w:sz="0" w:space="0" w:color="auto"/>
      </w:divBdr>
    </w:div>
    <w:div w:id="1050299900">
      <w:bodyDiv w:val="1"/>
      <w:marLeft w:val="0"/>
      <w:marRight w:val="0"/>
      <w:marTop w:val="0"/>
      <w:marBottom w:val="0"/>
      <w:divBdr>
        <w:top w:val="none" w:sz="0" w:space="0" w:color="auto"/>
        <w:left w:val="none" w:sz="0" w:space="0" w:color="auto"/>
        <w:bottom w:val="none" w:sz="0" w:space="0" w:color="auto"/>
        <w:right w:val="none" w:sz="0" w:space="0" w:color="auto"/>
      </w:divBdr>
    </w:div>
    <w:div w:id="1109545995">
      <w:bodyDiv w:val="1"/>
      <w:marLeft w:val="0"/>
      <w:marRight w:val="0"/>
      <w:marTop w:val="0"/>
      <w:marBottom w:val="0"/>
      <w:divBdr>
        <w:top w:val="none" w:sz="0" w:space="0" w:color="auto"/>
        <w:left w:val="none" w:sz="0" w:space="0" w:color="auto"/>
        <w:bottom w:val="none" w:sz="0" w:space="0" w:color="auto"/>
        <w:right w:val="none" w:sz="0" w:space="0" w:color="auto"/>
      </w:divBdr>
    </w:div>
    <w:div w:id="1165197014">
      <w:bodyDiv w:val="1"/>
      <w:marLeft w:val="0"/>
      <w:marRight w:val="0"/>
      <w:marTop w:val="0"/>
      <w:marBottom w:val="0"/>
      <w:divBdr>
        <w:top w:val="none" w:sz="0" w:space="0" w:color="auto"/>
        <w:left w:val="none" w:sz="0" w:space="0" w:color="auto"/>
        <w:bottom w:val="none" w:sz="0" w:space="0" w:color="auto"/>
        <w:right w:val="none" w:sz="0" w:space="0" w:color="auto"/>
      </w:divBdr>
    </w:div>
    <w:div w:id="1197962127">
      <w:bodyDiv w:val="1"/>
      <w:marLeft w:val="0"/>
      <w:marRight w:val="0"/>
      <w:marTop w:val="0"/>
      <w:marBottom w:val="0"/>
      <w:divBdr>
        <w:top w:val="none" w:sz="0" w:space="0" w:color="auto"/>
        <w:left w:val="none" w:sz="0" w:space="0" w:color="auto"/>
        <w:bottom w:val="none" w:sz="0" w:space="0" w:color="auto"/>
        <w:right w:val="none" w:sz="0" w:space="0" w:color="auto"/>
      </w:divBdr>
    </w:div>
    <w:div w:id="1287926760">
      <w:bodyDiv w:val="1"/>
      <w:marLeft w:val="0"/>
      <w:marRight w:val="0"/>
      <w:marTop w:val="0"/>
      <w:marBottom w:val="0"/>
      <w:divBdr>
        <w:top w:val="none" w:sz="0" w:space="0" w:color="auto"/>
        <w:left w:val="none" w:sz="0" w:space="0" w:color="auto"/>
        <w:bottom w:val="none" w:sz="0" w:space="0" w:color="auto"/>
        <w:right w:val="none" w:sz="0" w:space="0" w:color="auto"/>
      </w:divBdr>
    </w:div>
    <w:div w:id="1295406719">
      <w:bodyDiv w:val="1"/>
      <w:marLeft w:val="0"/>
      <w:marRight w:val="0"/>
      <w:marTop w:val="0"/>
      <w:marBottom w:val="0"/>
      <w:divBdr>
        <w:top w:val="none" w:sz="0" w:space="0" w:color="auto"/>
        <w:left w:val="none" w:sz="0" w:space="0" w:color="auto"/>
        <w:bottom w:val="none" w:sz="0" w:space="0" w:color="auto"/>
        <w:right w:val="none" w:sz="0" w:space="0" w:color="auto"/>
      </w:divBdr>
    </w:div>
    <w:div w:id="1325090122">
      <w:bodyDiv w:val="1"/>
      <w:marLeft w:val="0"/>
      <w:marRight w:val="0"/>
      <w:marTop w:val="0"/>
      <w:marBottom w:val="0"/>
      <w:divBdr>
        <w:top w:val="none" w:sz="0" w:space="0" w:color="auto"/>
        <w:left w:val="none" w:sz="0" w:space="0" w:color="auto"/>
        <w:bottom w:val="none" w:sz="0" w:space="0" w:color="auto"/>
        <w:right w:val="none" w:sz="0" w:space="0" w:color="auto"/>
      </w:divBdr>
    </w:div>
    <w:div w:id="1329333919">
      <w:bodyDiv w:val="1"/>
      <w:marLeft w:val="0"/>
      <w:marRight w:val="0"/>
      <w:marTop w:val="0"/>
      <w:marBottom w:val="0"/>
      <w:divBdr>
        <w:top w:val="none" w:sz="0" w:space="0" w:color="auto"/>
        <w:left w:val="none" w:sz="0" w:space="0" w:color="auto"/>
        <w:bottom w:val="none" w:sz="0" w:space="0" w:color="auto"/>
        <w:right w:val="none" w:sz="0" w:space="0" w:color="auto"/>
      </w:divBdr>
    </w:div>
    <w:div w:id="1388649450">
      <w:bodyDiv w:val="1"/>
      <w:marLeft w:val="0"/>
      <w:marRight w:val="0"/>
      <w:marTop w:val="0"/>
      <w:marBottom w:val="0"/>
      <w:divBdr>
        <w:top w:val="none" w:sz="0" w:space="0" w:color="auto"/>
        <w:left w:val="none" w:sz="0" w:space="0" w:color="auto"/>
        <w:bottom w:val="none" w:sz="0" w:space="0" w:color="auto"/>
        <w:right w:val="none" w:sz="0" w:space="0" w:color="auto"/>
      </w:divBdr>
    </w:div>
    <w:div w:id="1464811389">
      <w:bodyDiv w:val="1"/>
      <w:marLeft w:val="0"/>
      <w:marRight w:val="0"/>
      <w:marTop w:val="0"/>
      <w:marBottom w:val="0"/>
      <w:divBdr>
        <w:top w:val="none" w:sz="0" w:space="0" w:color="auto"/>
        <w:left w:val="none" w:sz="0" w:space="0" w:color="auto"/>
        <w:bottom w:val="none" w:sz="0" w:space="0" w:color="auto"/>
        <w:right w:val="none" w:sz="0" w:space="0" w:color="auto"/>
      </w:divBdr>
      <w:divsChild>
        <w:div w:id="979962539">
          <w:marLeft w:val="0"/>
          <w:marRight w:val="0"/>
          <w:marTop w:val="0"/>
          <w:marBottom w:val="0"/>
          <w:divBdr>
            <w:top w:val="single" w:sz="2" w:space="0" w:color="auto"/>
            <w:left w:val="single" w:sz="2" w:space="0" w:color="auto"/>
            <w:bottom w:val="single" w:sz="2" w:space="0" w:color="auto"/>
            <w:right w:val="single" w:sz="2" w:space="0" w:color="auto"/>
          </w:divBdr>
        </w:div>
      </w:divsChild>
    </w:div>
    <w:div w:id="1501313261">
      <w:bodyDiv w:val="1"/>
      <w:marLeft w:val="0"/>
      <w:marRight w:val="0"/>
      <w:marTop w:val="0"/>
      <w:marBottom w:val="0"/>
      <w:divBdr>
        <w:top w:val="none" w:sz="0" w:space="0" w:color="auto"/>
        <w:left w:val="none" w:sz="0" w:space="0" w:color="auto"/>
        <w:bottom w:val="none" w:sz="0" w:space="0" w:color="auto"/>
        <w:right w:val="none" w:sz="0" w:space="0" w:color="auto"/>
      </w:divBdr>
    </w:div>
    <w:div w:id="1627421812">
      <w:bodyDiv w:val="1"/>
      <w:marLeft w:val="0"/>
      <w:marRight w:val="0"/>
      <w:marTop w:val="0"/>
      <w:marBottom w:val="0"/>
      <w:divBdr>
        <w:top w:val="none" w:sz="0" w:space="0" w:color="auto"/>
        <w:left w:val="none" w:sz="0" w:space="0" w:color="auto"/>
        <w:bottom w:val="none" w:sz="0" w:space="0" w:color="auto"/>
        <w:right w:val="none" w:sz="0" w:space="0" w:color="auto"/>
      </w:divBdr>
    </w:div>
    <w:div w:id="1637099035">
      <w:bodyDiv w:val="1"/>
      <w:marLeft w:val="0"/>
      <w:marRight w:val="0"/>
      <w:marTop w:val="0"/>
      <w:marBottom w:val="0"/>
      <w:divBdr>
        <w:top w:val="none" w:sz="0" w:space="0" w:color="auto"/>
        <w:left w:val="none" w:sz="0" w:space="0" w:color="auto"/>
        <w:bottom w:val="none" w:sz="0" w:space="0" w:color="auto"/>
        <w:right w:val="none" w:sz="0" w:space="0" w:color="auto"/>
      </w:divBdr>
    </w:div>
    <w:div w:id="1687058156">
      <w:bodyDiv w:val="1"/>
      <w:marLeft w:val="0"/>
      <w:marRight w:val="0"/>
      <w:marTop w:val="0"/>
      <w:marBottom w:val="0"/>
      <w:divBdr>
        <w:top w:val="none" w:sz="0" w:space="0" w:color="auto"/>
        <w:left w:val="none" w:sz="0" w:space="0" w:color="auto"/>
        <w:bottom w:val="none" w:sz="0" w:space="0" w:color="auto"/>
        <w:right w:val="none" w:sz="0" w:space="0" w:color="auto"/>
      </w:divBdr>
    </w:div>
    <w:div w:id="1709721085">
      <w:bodyDiv w:val="1"/>
      <w:marLeft w:val="0"/>
      <w:marRight w:val="0"/>
      <w:marTop w:val="0"/>
      <w:marBottom w:val="0"/>
      <w:divBdr>
        <w:top w:val="none" w:sz="0" w:space="0" w:color="auto"/>
        <w:left w:val="none" w:sz="0" w:space="0" w:color="auto"/>
        <w:bottom w:val="none" w:sz="0" w:space="0" w:color="auto"/>
        <w:right w:val="none" w:sz="0" w:space="0" w:color="auto"/>
      </w:divBdr>
    </w:div>
    <w:div w:id="1768572421">
      <w:bodyDiv w:val="1"/>
      <w:marLeft w:val="0"/>
      <w:marRight w:val="0"/>
      <w:marTop w:val="0"/>
      <w:marBottom w:val="0"/>
      <w:divBdr>
        <w:top w:val="none" w:sz="0" w:space="0" w:color="auto"/>
        <w:left w:val="none" w:sz="0" w:space="0" w:color="auto"/>
        <w:bottom w:val="none" w:sz="0" w:space="0" w:color="auto"/>
        <w:right w:val="none" w:sz="0" w:space="0" w:color="auto"/>
      </w:divBdr>
    </w:div>
    <w:div w:id="1867792732">
      <w:bodyDiv w:val="1"/>
      <w:marLeft w:val="0"/>
      <w:marRight w:val="0"/>
      <w:marTop w:val="0"/>
      <w:marBottom w:val="0"/>
      <w:divBdr>
        <w:top w:val="none" w:sz="0" w:space="0" w:color="auto"/>
        <w:left w:val="none" w:sz="0" w:space="0" w:color="auto"/>
        <w:bottom w:val="none" w:sz="0" w:space="0" w:color="auto"/>
        <w:right w:val="none" w:sz="0" w:space="0" w:color="auto"/>
      </w:divBdr>
    </w:div>
    <w:div w:id="195108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REVISTA IURIS DICTIO PERÚ</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BFC6E5-DB87-4F76-8767-3CAC52FE6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TotalTime>
  <Pages>10</Pages>
  <Words>3832</Words>
  <Characters>21076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IURIS DICTIO PERÚ</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Corporación Hiram Servicios legales</dc:creator>
  <cp:keywords/>
  <dc:description/>
  <cp:lastModifiedBy>Corporación Hiram Servicios legales</cp:lastModifiedBy>
  <cp:revision>287</cp:revision>
  <dcterms:created xsi:type="dcterms:W3CDTF">2025-02-05T23:26:00Z</dcterms:created>
  <dcterms:modified xsi:type="dcterms:W3CDTF">2025-02-10T20:43:00Z</dcterms:modified>
</cp:coreProperties>
</file>