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11AA8" w14:textId="002DAE46" w:rsidR="008272C5" w:rsidRPr="0029495A" w:rsidRDefault="008272C5" w:rsidP="008272C5">
      <w:pPr>
        <w:pStyle w:val="Sinespaciado"/>
        <w:jc w:val="center"/>
        <w:rPr>
          <w:rFonts w:ascii="Arial Narrow" w:hAnsi="Arial Narrow"/>
          <w:b/>
          <w:bCs/>
          <w:sz w:val="24"/>
          <w:szCs w:val="24"/>
        </w:rPr>
      </w:pPr>
      <w:r w:rsidRPr="0029495A">
        <w:rPr>
          <w:rFonts w:ascii="Arial Narrow" w:hAnsi="Arial Narrow"/>
          <w:b/>
          <w:bCs/>
          <w:sz w:val="24"/>
          <w:szCs w:val="24"/>
        </w:rPr>
        <w:t>MODELO DE RECURSO DE CASACIÓN POR APARTAMIENTO DE PRECEDENTE VINCULANTE DE LA CORTE SUPREMA</w:t>
      </w:r>
    </w:p>
    <w:p w14:paraId="73835824" w14:textId="10D95D6F" w:rsidR="008272C5" w:rsidRPr="0029495A" w:rsidRDefault="008272C5" w:rsidP="008272C5">
      <w:pPr>
        <w:pStyle w:val="Sinespaciado"/>
        <w:jc w:val="both"/>
        <w:rPr>
          <w:rFonts w:ascii="Arial Narrow" w:hAnsi="Arial Narrow"/>
          <w:b/>
          <w:bCs/>
          <w:sz w:val="24"/>
          <w:szCs w:val="24"/>
        </w:rPr>
      </w:pPr>
    </w:p>
    <w:p w14:paraId="7DE23307" w14:textId="170AEEEF" w:rsidR="008272C5" w:rsidRPr="0029495A" w:rsidRDefault="008272C5" w:rsidP="008272C5">
      <w:pPr>
        <w:pStyle w:val="Sinespaciado"/>
        <w:jc w:val="center"/>
        <w:rPr>
          <w:rFonts w:ascii="Arial Narrow" w:hAnsi="Arial Narrow"/>
          <w:b/>
          <w:bCs/>
          <w:sz w:val="24"/>
          <w:szCs w:val="24"/>
        </w:rPr>
      </w:pPr>
      <w:r w:rsidRPr="0029495A">
        <w:rPr>
          <w:rFonts w:ascii="Arial Narrow" w:hAnsi="Arial Narrow"/>
          <w:b/>
          <w:bCs/>
          <w:sz w:val="24"/>
          <w:szCs w:val="24"/>
        </w:rPr>
        <w:t>José María Pacori Cari</w:t>
      </w:r>
    </w:p>
    <w:p w14:paraId="197CFA61" w14:textId="0469E433" w:rsidR="008272C5" w:rsidRPr="0029495A" w:rsidRDefault="008272C5" w:rsidP="008272C5">
      <w:pPr>
        <w:pStyle w:val="Sinespaciado"/>
        <w:jc w:val="center"/>
        <w:rPr>
          <w:rFonts w:ascii="Arial Narrow" w:hAnsi="Arial Narrow"/>
          <w:b/>
          <w:bCs/>
          <w:sz w:val="24"/>
          <w:szCs w:val="24"/>
        </w:rPr>
      </w:pPr>
      <w:r w:rsidRPr="0029495A">
        <w:rPr>
          <w:rFonts w:ascii="Arial Narrow" w:hAnsi="Arial Narrow"/>
          <w:b/>
          <w:bCs/>
          <w:sz w:val="24"/>
          <w:szCs w:val="24"/>
        </w:rPr>
        <w:t>Maestro en Derecho Administrativo por la Universidad Nacional de San Agustín en Perú – Socio de la Asociación Argentina de Derecho Administrativo</w:t>
      </w:r>
    </w:p>
    <w:p w14:paraId="6D64281B" w14:textId="36637AC3" w:rsidR="008272C5" w:rsidRPr="0029495A" w:rsidRDefault="008272C5" w:rsidP="008272C5">
      <w:pPr>
        <w:pStyle w:val="Sinespaciado"/>
        <w:jc w:val="both"/>
        <w:rPr>
          <w:rFonts w:ascii="Arial Narrow" w:hAnsi="Arial Narrow"/>
          <w:b/>
          <w:bCs/>
          <w:sz w:val="24"/>
          <w:szCs w:val="24"/>
        </w:rPr>
      </w:pPr>
    </w:p>
    <w:p w14:paraId="2169547F" w14:textId="0C45438B" w:rsidR="008272C5" w:rsidRPr="0029495A" w:rsidRDefault="008272C5" w:rsidP="008272C5">
      <w:pPr>
        <w:pStyle w:val="Sinespaciado"/>
        <w:jc w:val="both"/>
        <w:rPr>
          <w:rFonts w:ascii="Arial Narrow" w:hAnsi="Arial Narrow"/>
          <w:b/>
          <w:bCs/>
          <w:sz w:val="24"/>
          <w:szCs w:val="24"/>
        </w:rPr>
      </w:pPr>
      <w:r w:rsidRPr="0029495A">
        <w:rPr>
          <w:rFonts w:ascii="Arial Narrow" w:hAnsi="Arial Narrow"/>
          <w:b/>
          <w:bCs/>
          <w:sz w:val="24"/>
          <w:szCs w:val="24"/>
        </w:rPr>
        <w:t>Área Derecho Procesal Civil</w:t>
      </w:r>
    </w:p>
    <w:p w14:paraId="47AE492A" w14:textId="50141BA7" w:rsidR="008272C5" w:rsidRPr="0029495A" w:rsidRDefault="008272C5" w:rsidP="008272C5">
      <w:pPr>
        <w:pStyle w:val="Sinespaciado"/>
        <w:jc w:val="both"/>
        <w:rPr>
          <w:rFonts w:ascii="Arial Narrow" w:hAnsi="Arial Narrow"/>
          <w:b/>
          <w:bCs/>
          <w:sz w:val="24"/>
          <w:szCs w:val="24"/>
        </w:rPr>
      </w:pPr>
      <w:r w:rsidRPr="0029495A">
        <w:rPr>
          <w:rFonts w:ascii="Arial Narrow" w:hAnsi="Arial Narrow"/>
          <w:b/>
          <w:bCs/>
          <w:sz w:val="24"/>
          <w:szCs w:val="24"/>
        </w:rPr>
        <w:t>Línea Recurso de Casación</w:t>
      </w:r>
    </w:p>
    <w:p w14:paraId="2E75C3E4" w14:textId="76E8BCB8" w:rsidR="008272C5" w:rsidRPr="0029495A" w:rsidRDefault="008272C5" w:rsidP="008272C5">
      <w:pPr>
        <w:pStyle w:val="Sinespaciado"/>
        <w:jc w:val="both"/>
        <w:rPr>
          <w:rFonts w:ascii="Arial Narrow" w:hAnsi="Arial Narrow"/>
          <w:b/>
          <w:bCs/>
          <w:sz w:val="24"/>
          <w:szCs w:val="24"/>
        </w:rPr>
      </w:pPr>
    </w:p>
    <w:p w14:paraId="599CD634" w14:textId="56529FC0" w:rsidR="008272C5" w:rsidRPr="0029495A" w:rsidRDefault="008272C5" w:rsidP="008272C5">
      <w:pPr>
        <w:pStyle w:val="Sinespaciado"/>
        <w:jc w:val="both"/>
        <w:rPr>
          <w:rFonts w:ascii="Arial Narrow" w:hAnsi="Arial Narrow"/>
          <w:sz w:val="24"/>
          <w:szCs w:val="24"/>
        </w:rPr>
      </w:pPr>
      <w:r w:rsidRPr="0029495A">
        <w:rPr>
          <w:rFonts w:ascii="Arial Narrow" w:hAnsi="Arial Narrow"/>
          <w:sz w:val="24"/>
          <w:szCs w:val="24"/>
        </w:rPr>
        <w:t xml:space="preserve">Con fecha </w:t>
      </w:r>
      <w:r w:rsidRPr="003B441E">
        <w:rPr>
          <w:rFonts w:ascii="Arial Narrow" w:hAnsi="Arial Narrow"/>
          <w:b/>
          <w:bCs/>
          <w:sz w:val="24"/>
          <w:szCs w:val="24"/>
        </w:rPr>
        <w:t>26 de octubre 2022</w:t>
      </w:r>
      <w:r w:rsidRPr="0029495A">
        <w:rPr>
          <w:rFonts w:ascii="Arial Narrow" w:hAnsi="Arial Narrow"/>
          <w:sz w:val="24"/>
          <w:szCs w:val="24"/>
        </w:rPr>
        <w:t xml:space="preserve"> se publica en el Diario Oficial El Peruano la Ley 31591 que modifica el Código Procesal Civil e</w:t>
      </w:r>
      <w:r w:rsidR="00BF0079" w:rsidRPr="0029495A">
        <w:rPr>
          <w:rFonts w:ascii="Arial Narrow" w:hAnsi="Arial Narrow"/>
          <w:sz w:val="24"/>
          <w:szCs w:val="24"/>
        </w:rPr>
        <w:t>n lo referente a los requisitos de admisibilidad y procedencia del recurso de casación, en esta oportunidad le brindamos un modelo de recurso de casación por la causal de apartamiento de una decisión vinculante de la Corte Suprema (autor José María Pacori Cari)</w:t>
      </w:r>
    </w:p>
    <w:p w14:paraId="3AC7642A" w14:textId="0E5A69D1" w:rsidR="00BF0079" w:rsidRPr="0029495A" w:rsidRDefault="00BF0079" w:rsidP="008272C5">
      <w:pPr>
        <w:pStyle w:val="Sinespaciado"/>
        <w:jc w:val="both"/>
        <w:rPr>
          <w:rFonts w:ascii="Arial Narrow" w:hAnsi="Arial Narrow"/>
          <w:sz w:val="24"/>
          <w:szCs w:val="24"/>
        </w:rPr>
      </w:pPr>
    </w:p>
    <w:p w14:paraId="3D9A2023" w14:textId="12A0087C" w:rsidR="00BF0079" w:rsidRPr="0029495A" w:rsidRDefault="00BF0079" w:rsidP="00BF0079">
      <w:pPr>
        <w:pStyle w:val="Sinespaciado"/>
        <w:jc w:val="center"/>
        <w:rPr>
          <w:rFonts w:ascii="Arial Narrow" w:hAnsi="Arial Narrow"/>
          <w:b/>
          <w:bCs/>
          <w:sz w:val="24"/>
          <w:szCs w:val="24"/>
        </w:rPr>
      </w:pPr>
      <w:r w:rsidRPr="0029495A">
        <w:rPr>
          <w:rFonts w:ascii="Arial Narrow" w:hAnsi="Arial Narrow"/>
          <w:b/>
          <w:bCs/>
          <w:sz w:val="24"/>
          <w:szCs w:val="24"/>
        </w:rPr>
        <w:t>Modelo de recurso de casación por apartamiento de decisión vinculante de la Corte Suprema</w:t>
      </w:r>
    </w:p>
    <w:p w14:paraId="20722C54" w14:textId="77777777" w:rsidR="00BF0079" w:rsidRPr="0029495A" w:rsidRDefault="00BF0079" w:rsidP="008272C5">
      <w:pPr>
        <w:pStyle w:val="Sinespaciado"/>
        <w:jc w:val="both"/>
        <w:rPr>
          <w:rFonts w:ascii="Arial Narrow" w:hAnsi="Arial Narrow"/>
          <w:b/>
          <w:bCs/>
          <w:sz w:val="24"/>
          <w:szCs w:val="24"/>
        </w:rPr>
      </w:pPr>
    </w:p>
    <w:p w14:paraId="1705C3E2" w14:textId="1974445A" w:rsidR="00A80556" w:rsidRPr="0029495A" w:rsidRDefault="00A80556" w:rsidP="004437D5">
      <w:pPr>
        <w:pStyle w:val="Sinespaciado"/>
        <w:ind w:left="1416"/>
        <w:jc w:val="both"/>
        <w:rPr>
          <w:rFonts w:ascii="Arial Narrow" w:hAnsi="Arial Narrow"/>
          <w:b/>
          <w:bCs/>
          <w:sz w:val="24"/>
          <w:szCs w:val="24"/>
        </w:rPr>
      </w:pPr>
      <w:r w:rsidRPr="0029495A">
        <w:rPr>
          <w:rFonts w:ascii="Arial Narrow" w:hAnsi="Arial Narrow"/>
          <w:b/>
          <w:bCs/>
          <w:sz w:val="24"/>
          <w:szCs w:val="24"/>
        </w:rPr>
        <w:t>SECRETARIO JUDICIAL</w:t>
      </w:r>
      <w:r w:rsidR="003A7B43" w:rsidRPr="0029495A">
        <w:rPr>
          <w:rFonts w:ascii="Arial Narrow" w:hAnsi="Arial Narrow"/>
          <w:b/>
          <w:bCs/>
          <w:sz w:val="24"/>
          <w:szCs w:val="24"/>
        </w:rPr>
        <w:t xml:space="preserve"> </w:t>
      </w:r>
      <w:r w:rsidR="003A71D5" w:rsidRPr="0029495A">
        <w:rPr>
          <w:rFonts w:ascii="Arial Narrow" w:hAnsi="Arial Narrow"/>
          <w:b/>
          <w:bCs/>
          <w:sz w:val="24"/>
          <w:szCs w:val="24"/>
        </w:rPr>
        <w:tab/>
      </w:r>
      <w:r w:rsidR="00BF0079" w:rsidRPr="0029495A">
        <w:rPr>
          <w:rFonts w:ascii="Arial Narrow" w:hAnsi="Arial Narrow"/>
          <w:b/>
          <w:bCs/>
          <w:sz w:val="24"/>
          <w:szCs w:val="24"/>
        </w:rPr>
        <w:t>[indicar los nombres y apellidos]</w:t>
      </w:r>
    </w:p>
    <w:p w14:paraId="5C826038" w14:textId="65F5F80C" w:rsidR="00A80556" w:rsidRPr="0029495A" w:rsidRDefault="00A80556" w:rsidP="004437D5">
      <w:pPr>
        <w:pStyle w:val="Sinespaciado"/>
        <w:ind w:left="1416"/>
        <w:jc w:val="both"/>
        <w:rPr>
          <w:rFonts w:ascii="Arial Narrow" w:hAnsi="Arial Narrow"/>
          <w:b/>
          <w:bCs/>
          <w:sz w:val="24"/>
          <w:szCs w:val="24"/>
        </w:rPr>
      </w:pPr>
      <w:r w:rsidRPr="0029495A">
        <w:rPr>
          <w:rFonts w:ascii="Arial Narrow" w:hAnsi="Arial Narrow"/>
          <w:b/>
          <w:bCs/>
          <w:sz w:val="24"/>
          <w:szCs w:val="24"/>
        </w:rPr>
        <w:t>EXPEDIENTE</w:t>
      </w:r>
      <w:r w:rsidR="003A7B43" w:rsidRPr="0029495A">
        <w:rPr>
          <w:rFonts w:ascii="Arial Narrow" w:hAnsi="Arial Narrow"/>
          <w:b/>
          <w:bCs/>
          <w:sz w:val="24"/>
          <w:szCs w:val="24"/>
        </w:rPr>
        <w:t xml:space="preserve"> </w:t>
      </w:r>
      <w:r w:rsidR="003A71D5" w:rsidRPr="0029495A">
        <w:rPr>
          <w:rFonts w:ascii="Arial Narrow" w:hAnsi="Arial Narrow"/>
          <w:b/>
          <w:bCs/>
          <w:sz w:val="24"/>
          <w:szCs w:val="24"/>
        </w:rPr>
        <w:tab/>
      </w:r>
      <w:r w:rsidR="003A71D5" w:rsidRPr="0029495A">
        <w:rPr>
          <w:rFonts w:ascii="Arial Narrow" w:hAnsi="Arial Narrow"/>
          <w:b/>
          <w:bCs/>
          <w:sz w:val="24"/>
          <w:szCs w:val="24"/>
        </w:rPr>
        <w:tab/>
      </w:r>
      <w:r w:rsidR="00007ECE" w:rsidRPr="0029495A">
        <w:rPr>
          <w:rFonts w:ascii="Arial Narrow" w:hAnsi="Arial Narrow"/>
          <w:b/>
          <w:bCs/>
          <w:sz w:val="24"/>
          <w:szCs w:val="24"/>
        </w:rPr>
        <w:tab/>
      </w:r>
      <w:r w:rsidR="00BF0079" w:rsidRPr="0029495A">
        <w:rPr>
          <w:rFonts w:ascii="Arial Narrow" w:hAnsi="Arial Narrow"/>
          <w:b/>
          <w:bCs/>
          <w:sz w:val="24"/>
          <w:szCs w:val="24"/>
        </w:rPr>
        <w:t>[indicar el número]</w:t>
      </w:r>
    </w:p>
    <w:p w14:paraId="12F70BF9" w14:textId="60F7FEE7" w:rsidR="00A80556" w:rsidRPr="0029495A" w:rsidRDefault="00A80556" w:rsidP="004437D5">
      <w:pPr>
        <w:pStyle w:val="Sinespaciado"/>
        <w:ind w:left="1416"/>
        <w:jc w:val="both"/>
        <w:rPr>
          <w:rFonts w:ascii="Arial Narrow" w:hAnsi="Arial Narrow"/>
          <w:b/>
          <w:bCs/>
          <w:sz w:val="24"/>
          <w:szCs w:val="24"/>
        </w:rPr>
      </w:pPr>
      <w:r w:rsidRPr="0029495A">
        <w:rPr>
          <w:rFonts w:ascii="Arial Narrow" w:hAnsi="Arial Narrow"/>
          <w:b/>
          <w:bCs/>
          <w:sz w:val="24"/>
          <w:szCs w:val="24"/>
        </w:rPr>
        <w:t xml:space="preserve">CUADERNO </w:t>
      </w:r>
      <w:r w:rsidR="003A71D5" w:rsidRPr="0029495A">
        <w:rPr>
          <w:rFonts w:ascii="Arial Narrow" w:hAnsi="Arial Narrow"/>
          <w:b/>
          <w:bCs/>
          <w:sz w:val="24"/>
          <w:szCs w:val="24"/>
        </w:rPr>
        <w:tab/>
      </w:r>
      <w:r w:rsidR="003A71D5" w:rsidRPr="0029495A">
        <w:rPr>
          <w:rFonts w:ascii="Arial Narrow" w:hAnsi="Arial Narrow"/>
          <w:b/>
          <w:bCs/>
          <w:sz w:val="24"/>
          <w:szCs w:val="24"/>
        </w:rPr>
        <w:tab/>
      </w:r>
      <w:r w:rsidR="003A71D5" w:rsidRPr="0029495A">
        <w:rPr>
          <w:rFonts w:ascii="Arial Narrow" w:hAnsi="Arial Narrow"/>
          <w:b/>
          <w:bCs/>
          <w:sz w:val="24"/>
          <w:szCs w:val="24"/>
        </w:rPr>
        <w:tab/>
      </w:r>
      <w:r w:rsidRPr="0029495A">
        <w:rPr>
          <w:rFonts w:ascii="Arial Narrow" w:hAnsi="Arial Narrow"/>
          <w:b/>
          <w:bCs/>
          <w:sz w:val="24"/>
          <w:szCs w:val="24"/>
        </w:rPr>
        <w:t>Principal</w:t>
      </w:r>
    </w:p>
    <w:p w14:paraId="27762DC0" w14:textId="14CFA12F" w:rsidR="00A80556" w:rsidRPr="0029495A" w:rsidRDefault="004B7E42" w:rsidP="004437D5">
      <w:pPr>
        <w:pStyle w:val="Sinespaciado"/>
        <w:ind w:left="1416"/>
        <w:jc w:val="both"/>
        <w:rPr>
          <w:rFonts w:ascii="Arial Narrow" w:hAnsi="Arial Narrow"/>
          <w:b/>
          <w:bCs/>
          <w:sz w:val="24"/>
          <w:szCs w:val="24"/>
        </w:rPr>
      </w:pPr>
      <w:r w:rsidRPr="0029495A">
        <w:rPr>
          <w:rFonts w:ascii="Arial Narrow" w:hAnsi="Arial Narrow"/>
          <w:b/>
          <w:bCs/>
          <w:sz w:val="24"/>
          <w:szCs w:val="24"/>
        </w:rPr>
        <w:t xml:space="preserve">ESCRITO </w:t>
      </w:r>
      <w:r w:rsidR="003A71D5" w:rsidRPr="0029495A">
        <w:rPr>
          <w:rFonts w:ascii="Arial Narrow" w:hAnsi="Arial Narrow"/>
          <w:b/>
          <w:bCs/>
          <w:sz w:val="24"/>
          <w:szCs w:val="24"/>
        </w:rPr>
        <w:tab/>
      </w:r>
      <w:r w:rsidR="003A71D5" w:rsidRPr="0029495A">
        <w:rPr>
          <w:rFonts w:ascii="Arial Narrow" w:hAnsi="Arial Narrow"/>
          <w:b/>
          <w:bCs/>
          <w:sz w:val="24"/>
          <w:szCs w:val="24"/>
        </w:rPr>
        <w:tab/>
      </w:r>
      <w:r w:rsidR="003A71D5" w:rsidRPr="0029495A">
        <w:rPr>
          <w:rFonts w:ascii="Arial Narrow" w:hAnsi="Arial Narrow"/>
          <w:b/>
          <w:bCs/>
          <w:sz w:val="24"/>
          <w:szCs w:val="24"/>
        </w:rPr>
        <w:tab/>
      </w:r>
      <w:r w:rsidRPr="0029495A">
        <w:rPr>
          <w:rFonts w:ascii="Arial Narrow" w:hAnsi="Arial Narrow"/>
          <w:b/>
          <w:bCs/>
          <w:sz w:val="24"/>
          <w:szCs w:val="24"/>
        </w:rPr>
        <w:t>01-2023</w:t>
      </w:r>
    </w:p>
    <w:p w14:paraId="3B766339" w14:textId="14787B74" w:rsidR="004B7E42" w:rsidRPr="0029495A" w:rsidRDefault="004B7E42" w:rsidP="004437D5">
      <w:pPr>
        <w:pStyle w:val="Sinespaciado"/>
        <w:ind w:left="1416"/>
        <w:jc w:val="both"/>
        <w:rPr>
          <w:rFonts w:ascii="Arial Narrow" w:hAnsi="Arial Narrow"/>
          <w:b/>
          <w:bCs/>
          <w:sz w:val="24"/>
          <w:szCs w:val="24"/>
        </w:rPr>
      </w:pPr>
      <w:r w:rsidRPr="0029495A">
        <w:rPr>
          <w:rFonts w:ascii="Arial Narrow" w:hAnsi="Arial Narrow"/>
          <w:b/>
          <w:bCs/>
          <w:sz w:val="24"/>
          <w:szCs w:val="24"/>
        </w:rPr>
        <w:t xml:space="preserve">SUMILLA </w:t>
      </w:r>
      <w:r w:rsidR="003A71D5" w:rsidRPr="0029495A">
        <w:rPr>
          <w:rFonts w:ascii="Arial Narrow" w:hAnsi="Arial Narrow"/>
          <w:b/>
          <w:bCs/>
          <w:sz w:val="24"/>
          <w:szCs w:val="24"/>
        </w:rPr>
        <w:tab/>
      </w:r>
      <w:r w:rsidR="003A71D5" w:rsidRPr="0029495A">
        <w:rPr>
          <w:rFonts w:ascii="Arial Narrow" w:hAnsi="Arial Narrow"/>
          <w:b/>
          <w:bCs/>
          <w:sz w:val="24"/>
          <w:szCs w:val="24"/>
        </w:rPr>
        <w:tab/>
      </w:r>
      <w:r w:rsidR="003A71D5" w:rsidRPr="0029495A">
        <w:rPr>
          <w:rFonts w:ascii="Arial Narrow" w:hAnsi="Arial Narrow"/>
          <w:b/>
          <w:bCs/>
          <w:sz w:val="24"/>
          <w:szCs w:val="24"/>
        </w:rPr>
        <w:tab/>
      </w:r>
      <w:r w:rsidRPr="0029495A">
        <w:rPr>
          <w:rFonts w:ascii="Arial Narrow" w:hAnsi="Arial Narrow"/>
          <w:b/>
          <w:bCs/>
          <w:sz w:val="24"/>
          <w:szCs w:val="24"/>
        </w:rPr>
        <w:t>Interpongo recurso de casación</w:t>
      </w:r>
      <w:r w:rsidR="003A71D5" w:rsidRPr="0029495A">
        <w:rPr>
          <w:rFonts w:ascii="Arial Narrow" w:hAnsi="Arial Narrow"/>
          <w:b/>
          <w:bCs/>
          <w:sz w:val="24"/>
          <w:szCs w:val="24"/>
        </w:rPr>
        <w:t xml:space="preserve"> por apartamiento de decisión vinculante de la Corte Suprema</w:t>
      </w:r>
    </w:p>
    <w:p w14:paraId="4F390C92" w14:textId="16A39059" w:rsidR="00E76E13" w:rsidRPr="0029495A" w:rsidRDefault="00E76E13" w:rsidP="004437D5">
      <w:pPr>
        <w:pStyle w:val="Sinespaciado"/>
        <w:jc w:val="both"/>
        <w:rPr>
          <w:rFonts w:ascii="Arial Narrow" w:hAnsi="Arial Narrow"/>
          <w:b/>
          <w:bCs/>
          <w:sz w:val="24"/>
          <w:szCs w:val="24"/>
        </w:rPr>
      </w:pPr>
    </w:p>
    <w:p w14:paraId="1BE55610" w14:textId="5E2943FD" w:rsidR="001037D5" w:rsidRPr="0029495A" w:rsidRDefault="001037D5" w:rsidP="004437D5">
      <w:pPr>
        <w:pStyle w:val="Sinespaciado"/>
        <w:jc w:val="both"/>
        <w:rPr>
          <w:rFonts w:ascii="Arial Narrow" w:hAnsi="Arial Narrow"/>
          <w:b/>
          <w:bCs/>
          <w:sz w:val="24"/>
          <w:szCs w:val="24"/>
        </w:rPr>
      </w:pPr>
      <w:r w:rsidRPr="0029495A">
        <w:rPr>
          <w:rFonts w:ascii="Arial Narrow" w:hAnsi="Arial Narrow"/>
          <w:b/>
          <w:bCs/>
          <w:sz w:val="24"/>
          <w:szCs w:val="24"/>
        </w:rPr>
        <w:t xml:space="preserve">SEÑOR PRESIDENTE DE LA SALA </w:t>
      </w:r>
      <w:r w:rsidR="00BF0079" w:rsidRPr="0029495A">
        <w:rPr>
          <w:rFonts w:ascii="Arial Narrow" w:hAnsi="Arial Narrow"/>
          <w:b/>
          <w:bCs/>
          <w:sz w:val="24"/>
          <w:szCs w:val="24"/>
        </w:rPr>
        <w:t xml:space="preserve">SUPERIOR </w:t>
      </w:r>
      <w:r w:rsidRPr="0029495A">
        <w:rPr>
          <w:rFonts w:ascii="Arial Narrow" w:hAnsi="Arial Narrow"/>
          <w:b/>
          <w:bCs/>
          <w:sz w:val="24"/>
          <w:szCs w:val="24"/>
        </w:rPr>
        <w:t>CIVIL</w:t>
      </w:r>
    </w:p>
    <w:p w14:paraId="079C3858" w14:textId="0F2A2D36" w:rsidR="001037D5" w:rsidRPr="0029495A" w:rsidRDefault="001037D5" w:rsidP="004437D5">
      <w:pPr>
        <w:pStyle w:val="Sinespaciado"/>
        <w:jc w:val="both"/>
        <w:rPr>
          <w:rFonts w:ascii="Arial Narrow" w:hAnsi="Arial Narrow"/>
          <w:b/>
          <w:bCs/>
          <w:sz w:val="24"/>
          <w:szCs w:val="24"/>
        </w:rPr>
      </w:pPr>
    </w:p>
    <w:p w14:paraId="60152EA8" w14:textId="30971574" w:rsidR="001037D5" w:rsidRPr="0029495A" w:rsidRDefault="00BF0079" w:rsidP="004437D5">
      <w:pPr>
        <w:pStyle w:val="Sinespaciado"/>
        <w:ind w:left="1416"/>
        <w:jc w:val="both"/>
        <w:rPr>
          <w:rFonts w:ascii="Arial Narrow" w:hAnsi="Arial Narrow"/>
          <w:sz w:val="24"/>
          <w:szCs w:val="24"/>
        </w:rPr>
      </w:pPr>
      <w:r w:rsidRPr="0029495A">
        <w:rPr>
          <w:rFonts w:ascii="Arial Narrow" w:hAnsi="Arial Narrow"/>
          <w:b/>
          <w:bCs/>
          <w:sz w:val="24"/>
          <w:szCs w:val="24"/>
        </w:rPr>
        <w:t>[indicar los nombres y apellidos del recurrente]</w:t>
      </w:r>
      <w:r w:rsidR="001037D5" w:rsidRPr="0029495A">
        <w:rPr>
          <w:rFonts w:ascii="Arial Narrow" w:hAnsi="Arial Narrow"/>
          <w:sz w:val="24"/>
          <w:szCs w:val="24"/>
        </w:rPr>
        <w:t xml:space="preserve">, en el proceso </w:t>
      </w:r>
      <w:r w:rsidRPr="0029495A">
        <w:rPr>
          <w:rFonts w:ascii="Arial Narrow" w:hAnsi="Arial Narrow"/>
          <w:sz w:val="24"/>
          <w:szCs w:val="24"/>
        </w:rPr>
        <w:t>civil</w:t>
      </w:r>
      <w:r w:rsidR="001037D5" w:rsidRPr="0029495A">
        <w:rPr>
          <w:rFonts w:ascii="Arial Narrow" w:hAnsi="Arial Narrow"/>
          <w:sz w:val="24"/>
          <w:szCs w:val="24"/>
        </w:rPr>
        <w:t xml:space="preserve"> que sigue en contra de </w:t>
      </w:r>
      <w:r w:rsidRPr="0029495A">
        <w:rPr>
          <w:rFonts w:ascii="Arial Narrow" w:hAnsi="Arial Narrow"/>
          <w:b/>
          <w:bCs/>
          <w:sz w:val="24"/>
          <w:szCs w:val="24"/>
        </w:rPr>
        <w:t>[indicar el o los demandados]</w:t>
      </w:r>
      <w:r w:rsidR="001037D5" w:rsidRPr="0029495A">
        <w:rPr>
          <w:rFonts w:ascii="Arial Narrow" w:hAnsi="Arial Narrow"/>
          <w:sz w:val="24"/>
          <w:szCs w:val="24"/>
        </w:rPr>
        <w:t>; a Ud., respetuosamente, digo:</w:t>
      </w:r>
    </w:p>
    <w:p w14:paraId="304B77F5" w14:textId="66C85066" w:rsidR="001037D5" w:rsidRPr="0029495A" w:rsidRDefault="001037D5" w:rsidP="004437D5">
      <w:pPr>
        <w:pStyle w:val="Sinespaciado"/>
        <w:jc w:val="both"/>
        <w:rPr>
          <w:rFonts w:ascii="Arial Narrow" w:hAnsi="Arial Narrow"/>
          <w:sz w:val="24"/>
          <w:szCs w:val="24"/>
        </w:rPr>
      </w:pPr>
    </w:p>
    <w:p w14:paraId="6D0010DB" w14:textId="2F1EE35A" w:rsidR="00172AB1" w:rsidRPr="0029495A" w:rsidRDefault="00172AB1" w:rsidP="004437D5">
      <w:pPr>
        <w:pStyle w:val="Sinespaciado"/>
        <w:jc w:val="both"/>
        <w:rPr>
          <w:rFonts w:ascii="Arial Narrow" w:hAnsi="Arial Narrow"/>
          <w:sz w:val="24"/>
          <w:szCs w:val="24"/>
        </w:rPr>
      </w:pPr>
      <w:r w:rsidRPr="0029495A">
        <w:rPr>
          <w:rFonts w:ascii="Arial Narrow" w:hAnsi="Arial Narrow"/>
          <w:sz w:val="24"/>
          <w:szCs w:val="24"/>
        </w:rPr>
        <w:t>Dentro de este contexto, cumplo con los requisitos establecidos para el recurso de casación teniendo en cuenta el artículo 386, 388, 391 del Código Procesal Civil, modificado por la Ley 31591 publicada el 26 de octubre de 2022, en los siguientes términos</w:t>
      </w:r>
    </w:p>
    <w:p w14:paraId="2DC155A9" w14:textId="77777777" w:rsidR="00172AB1" w:rsidRPr="0029495A" w:rsidRDefault="00172AB1" w:rsidP="004437D5">
      <w:pPr>
        <w:pStyle w:val="Sinespaciado"/>
        <w:jc w:val="both"/>
        <w:rPr>
          <w:rFonts w:ascii="Arial Narrow" w:hAnsi="Arial Narrow"/>
          <w:sz w:val="24"/>
          <w:szCs w:val="24"/>
        </w:rPr>
      </w:pPr>
    </w:p>
    <w:p w14:paraId="282C6492" w14:textId="275FD944" w:rsidR="00D3709C" w:rsidRPr="0029495A" w:rsidRDefault="003A71D5" w:rsidP="004437D5">
      <w:pPr>
        <w:pStyle w:val="Sinespaciado"/>
        <w:jc w:val="both"/>
        <w:rPr>
          <w:rFonts w:ascii="Arial Narrow" w:hAnsi="Arial Narrow"/>
          <w:b/>
          <w:bCs/>
          <w:sz w:val="24"/>
          <w:szCs w:val="24"/>
        </w:rPr>
      </w:pPr>
      <w:r w:rsidRPr="0029495A">
        <w:rPr>
          <w:rFonts w:ascii="Arial Narrow" w:hAnsi="Arial Narrow"/>
          <w:b/>
          <w:bCs/>
          <w:sz w:val="24"/>
          <w:szCs w:val="24"/>
        </w:rPr>
        <w:t xml:space="preserve">I. </w:t>
      </w:r>
      <w:r w:rsidR="00D3709C" w:rsidRPr="0029495A">
        <w:rPr>
          <w:rFonts w:ascii="Arial Narrow" w:hAnsi="Arial Narrow"/>
          <w:b/>
          <w:bCs/>
          <w:sz w:val="24"/>
          <w:szCs w:val="24"/>
        </w:rPr>
        <w:t>PETITORIO</w:t>
      </w:r>
    </w:p>
    <w:p w14:paraId="4A1B06DC" w14:textId="324EFD42"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 xml:space="preserve">Interpongo recurso de casación en contra de la </w:t>
      </w:r>
      <w:r w:rsidR="003A71D5" w:rsidRPr="0029495A">
        <w:rPr>
          <w:rFonts w:ascii="Arial Narrow" w:hAnsi="Arial Narrow"/>
          <w:b/>
          <w:bCs/>
          <w:sz w:val="24"/>
          <w:szCs w:val="24"/>
        </w:rPr>
        <w:t>S</w:t>
      </w:r>
      <w:r w:rsidRPr="0029495A">
        <w:rPr>
          <w:rFonts w:ascii="Arial Narrow" w:hAnsi="Arial Narrow"/>
          <w:b/>
          <w:bCs/>
          <w:sz w:val="24"/>
          <w:szCs w:val="24"/>
        </w:rPr>
        <w:t xml:space="preserve">entencia de </w:t>
      </w:r>
      <w:r w:rsidR="003A71D5" w:rsidRPr="0029495A">
        <w:rPr>
          <w:rFonts w:ascii="Arial Narrow" w:hAnsi="Arial Narrow"/>
          <w:b/>
          <w:bCs/>
          <w:sz w:val="24"/>
          <w:szCs w:val="24"/>
        </w:rPr>
        <w:t>S</w:t>
      </w:r>
      <w:r w:rsidRPr="0029495A">
        <w:rPr>
          <w:rFonts w:ascii="Arial Narrow" w:hAnsi="Arial Narrow"/>
          <w:b/>
          <w:bCs/>
          <w:sz w:val="24"/>
          <w:szCs w:val="24"/>
        </w:rPr>
        <w:t xml:space="preserve">egunda </w:t>
      </w:r>
      <w:r w:rsidR="003A71D5" w:rsidRPr="0029495A">
        <w:rPr>
          <w:rFonts w:ascii="Arial Narrow" w:hAnsi="Arial Narrow"/>
          <w:b/>
          <w:bCs/>
          <w:sz w:val="24"/>
          <w:szCs w:val="24"/>
        </w:rPr>
        <w:t>I</w:t>
      </w:r>
      <w:r w:rsidRPr="0029495A">
        <w:rPr>
          <w:rFonts w:ascii="Arial Narrow" w:hAnsi="Arial Narrow"/>
          <w:b/>
          <w:bCs/>
          <w:sz w:val="24"/>
          <w:szCs w:val="24"/>
        </w:rPr>
        <w:t>nstancia (Resolución número seis)</w:t>
      </w:r>
      <w:r w:rsidRPr="0029495A">
        <w:rPr>
          <w:rFonts w:ascii="Arial Narrow" w:hAnsi="Arial Narrow"/>
          <w:sz w:val="24"/>
          <w:szCs w:val="24"/>
        </w:rPr>
        <w:t xml:space="preserve"> que </w:t>
      </w:r>
      <w:r w:rsidR="003B441E">
        <w:rPr>
          <w:rFonts w:ascii="Arial Narrow" w:hAnsi="Arial Narrow"/>
          <w:sz w:val="24"/>
          <w:szCs w:val="24"/>
        </w:rPr>
        <w:t xml:space="preserve">resuelve </w:t>
      </w:r>
      <w:r w:rsidR="003B441E" w:rsidRPr="003B441E">
        <w:rPr>
          <w:rFonts w:ascii="Arial Narrow" w:hAnsi="Arial Narrow"/>
          <w:b/>
          <w:bCs/>
          <w:sz w:val="24"/>
          <w:szCs w:val="24"/>
        </w:rPr>
        <w:t xml:space="preserve">[indicar lo que resuelve la Sala Superior, por ejemplo, </w:t>
      </w:r>
      <w:r w:rsidRPr="003B441E">
        <w:rPr>
          <w:rFonts w:ascii="Arial Narrow" w:hAnsi="Arial Narrow"/>
          <w:b/>
          <w:bCs/>
          <w:sz w:val="24"/>
          <w:szCs w:val="24"/>
        </w:rPr>
        <w:t>RESUELVE: REVOCAR la Resolución Número Tres – Sentencia, que declaró fundada la demanda interpuesta, se declara INFUNDADA LA DEMANDA EN TODOS SUS EXTREMOS</w:t>
      </w:r>
      <w:r w:rsidR="003B441E" w:rsidRPr="003B441E">
        <w:rPr>
          <w:rFonts w:ascii="Arial Narrow" w:hAnsi="Arial Narrow"/>
          <w:b/>
          <w:bCs/>
          <w:sz w:val="24"/>
          <w:szCs w:val="24"/>
        </w:rPr>
        <w:t>]</w:t>
      </w:r>
      <w:r w:rsidRPr="003B441E">
        <w:rPr>
          <w:rFonts w:ascii="Arial Narrow" w:hAnsi="Arial Narrow"/>
          <w:b/>
          <w:bCs/>
          <w:sz w:val="24"/>
          <w:szCs w:val="24"/>
        </w:rPr>
        <w:t>.</w:t>
      </w:r>
    </w:p>
    <w:p w14:paraId="09E30D40" w14:textId="3D63F6BE" w:rsidR="00D3709C" w:rsidRPr="0029495A" w:rsidRDefault="00D3709C" w:rsidP="004437D5">
      <w:pPr>
        <w:pStyle w:val="Sinespaciado"/>
        <w:jc w:val="both"/>
        <w:rPr>
          <w:rFonts w:ascii="Arial Narrow" w:hAnsi="Arial Narrow"/>
          <w:sz w:val="24"/>
          <w:szCs w:val="24"/>
        </w:rPr>
      </w:pPr>
    </w:p>
    <w:p w14:paraId="3EFDB941" w14:textId="4B16CD64" w:rsidR="00D3709C" w:rsidRPr="0029495A" w:rsidRDefault="003A71D5" w:rsidP="004437D5">
      <w:pPr>
        <w:pStyle w:val="Sinespaciado"/>
        <w:jc w:val="both"/>
        <w:rPr>
          <w:rFonts w:ascii="Arial Narrow" w:hAnsi="Arial Narrow"/>
          <w:b/>
          <w:bCs/>
          <w:sz w:val="24"/>
          <w:szCs w:val="24"/>
        </w:rPr>
      </w:pPr>
      <w:r w:rsidRPr="0029495A">
        <w:rPr>
          <w:rFonts w:ascii="Arial Narrow" w:hAnsi="Arial Narrow"/>
          <w:b/>
          <w:bCs/>
          <w:sz w:val="24"/>
          <w:szCs w:val="24"/>
        </w:rPr>
        <w:t xml:space="preserve">II. </w:t>
      </w:r>
      <w:r w:rsidR="00D3709C" w:rsidRPr="0029495A">
        <w:rPr>
          <w:rFonts w:ascii="Arial Narrow" w:hAnsi="Arial Narrow"/>
          <w:b/>
          <w:bCs/>
          <w:sz w:val="24"/>
          <w:szCs w:val="24"/>
        </w:rPr>
        <w:t>REQUISITOS DE INTERPOSICIÓN DEL RECURSO</w:t>
      </w:r>
    </w:p>
    <w:p w14:paraId="48A2ECF1" w14:textId="502DADF4" w:rsidR="00D3709C" w:rsidRPr="0029495A" w:rsidRDefault="00B3568A" w:rsidP="004437D5">
      <w:pPr>
        <w:pStyle w:val="Sinespaciado"/>
        <w:jc w:val="both"/>
        <w:rPr>
          <w:rFonts w:ascii="Arial Narrow" w:hAnsi="Arial Narrow"/>
          <w:sz w:val="24"/>
          <w:szCs w:val="24"/>
        </w:rPr>
      </w:pPr>
      <w:r w:rsidRPr="0029495A">
        <w:rPr>
          <w:rFonts w:ascii="Arial Narrow" w:hAnsi="Arial Narrow"/>
          <w:sz w:val="24"/>
          <w:szCs w:val="24"/>
        </w:rPr>
        <w:t>En relación a los requisitos de interposición del recurso de casación cumplo con los dispuesto en el inciso 2) del artículo 391 del Código Procesal Civil</w:t>
      </w:r>
      <w:r w:rsidRPr="0029495A">
        <w:rPr>
          <w:rFonts w:ascii="Arial Narrow" w:hAnsi="Arial Narrow"/>
          <w:sz w:val="24"/>
          <w:szCs w:val="24"/>
          <w:vertAlign w:val="superscript"/>
        </w:rPr>
        <w:footnoteReference w:id="1"/>
      </w:r>
      <w:r w:rsidRPr="0029495A">
        <w:rPr>
          <w:rFonts w:ascii="Arial Narrow" w:hAnsi="Arial Narrow"/>
          <w:sz w:val="24"/>
          <w:szCs w:val="24"/>
        </w:rPr>
        <w:t xml:space="preserve"> en los siguientes términos:</w:t>
      </w:r>
    </w:p>
    <w:p w14:paraId="224CD0CF" w14:textId="77777777" w:rsidR="00D3709C" w:rsidRPr="0029495A" w:rsidRDefault="00D3709C" w:rsidP="004437D5">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3681"/>
        <w:gridCol w:w="4813"/>
      </w:tblGrid>
      <w:tr w:rsidR="00D3709C" w:rsidRPr="0029495A" w14:paraId="7992AA33" w14:textId="77777777" w:rsidTr="003A71D5">
        <w:tc>
          <w:tcPr>
            <w:tcW w:w="3681" w:type="dxa"/>
          </w:tcPr>
          <w:p w14:paraId="3817C530" w14:textId="1E7353DB"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El recurso se interpone ante la Sala Superior que emite la resolución impugnada</w:t>
            </w:r>
          </w:p>
        </w:tc>
        <w:tc>
          <w:tcPr>
            <w:tcW w:w="4813" w:type="dxa"/>
          </w:tcPr>
          <w:p w14:paraId="02F484AE" w14:textId="45BC73A4" w:rsidR="00D3709C" w:rsidRPr="0029495A" w:rsidRDefault="00B3568A" w:rsidP="004437D5">
            <w:pPr>
              <w:pStyle w:val="Sinespaciado"/>
              <w:jc w:val="both"/>
              <w:rPr>
                <w:rFonts w:ascii="Arial Narrow" w:hAnsi="Arial Narrow"/>
                <w:sz w:val="24"/>
                <w:szCs w:val="24"/>
              </w:rPr>
            </w:pPr>
            <w:r w:rsidRPr="0029495A">
              <w:rPr>
                <w:rFonts w:ascii="Arial Narrow" w:hAnsi="Arial Narrow"/>
                <w:sz w:val="24"/>
                <w:szCs w:val="24"/>
              </w:rPr>
              <w:t xml:space="preserve">Lo interpongo a la Sala Superior </w:t>
            </w:r>
            <w:r w:rsidR="003B441E" w:rsidRPr="003B441E">
              <w:rPr>
                <w:rFonts w:ascii="Arial Narrow" w:hAnsi="Arial Narrow"/>
                <w:b/>
                <w:bCs/>
                <w:sz w:val="24"/>
                <w:szCs w:val="24"/>
              </w:rPr>
              <w:t>[indicar denominación]</w:t>
            </w:r>
          </w:p>
        </w:tc>
      </w:tr>
      <w:tr w:rsidR="00D3709C" w:rsidRPr="0029495A" w14:paraId="24D4CC99" w14:textId="77777777" w:rsidTr="003A71D5">
        <w:tc>
          <w:tcPr>
            <w:tcW w:w="3681" w:type="dxa"/>
          </w:tcPr>
          <w:p w14:paraId="0A986011" w14:textId="524E00A3"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El recurso se interpone dentro del plazo de diez (10) días hábiles, contado desde el día siguiente de notificada la resolución que se impugna</w:t>
            </w:r>
            <w:r w:rsidR="003A71D5" w:rsidRPr="0029495A">
              <w:rPr>
                <w:rFonts w:ascii="Arial Narrow" w:hAnsi="Arial Narrow"/>
                <w:sz w:val="24"/>
                <w:szCs w:val="24"/>
              </w:rPr>
              <w:t>.</w:t>
            </w:r>
          </w:p>
        </w:tc>
        <w:tc>
          <w:tcPr>
            <w:tcW w:w="4813" w:type="dxa"/>
          </w:tcPr>
          <w:p w14:paraId="12AA2832" w14:textId="7F9185E5" w:rsidR="00D3709C" w:rsidRPr="0029495A" w:rsidRDefault="00172AB1" w:rsidP="004437D5">
            <w:pPr>
              <w:pStyle w:val="Sinespaciado"/>
              <w:jc w:val="both"/>
              <w:rPr>
                <w:rFonts w:ascii="Arial Narrow" w:hAnsi="Arial Narrow"/>
                <w:sz w:val="24"/>
                <w:szCs w:val="24"/>
              </w:rPr>
            </w:pPr>
            <w:r w:rsidRPr="0029495A">
              <w:rPr>
                <w:rFonts w:ascii="Arial Narrow" w:hAnsi="Arial Narrow"/>
                <w:sz w:val="24"/>
                <w:szCs w:val="24"/>
              </w:rPr>
              <w:t xml:space="preserve">La sentencia de vista me fue notificada el </w:t>
            </w:r>
            <w:r w:rsidR="003B441E" w:rsidRPr="003B441E">
              <w:rPr>
                <w:rFonts w:ascii="Arial Narrow" w:hAnsi="Arial Narrow"/>
                <w:b/>
                <w:bCs/>
                <w:sz w:val="24"/>
                <w:szCs w:val="24"/>
              </w:rPr>
              <w:t>[…]</w:t>
            </w:r>
            <w:r w:rsidRPr="0029495A">
              <w:rPr>
                <w:rFonts w:ascii="Arial Narrow" w:hAnsi="Arial Narrow"/>
                <w:sz w:val="24"/>
                <w:szCs w:val="24"/>
              </w:rPr>
              <w:t xml:space="preserve">, por lo que el plazo para presentar el recurso vence el </w:t>
            </w:r>
            <w:r w:rsidR="003B441E" w:rsidRPr="003B441E">
              <w:rPr>
                <w:rFonts w:ascii="Arial Narrow" w:hAnsi="Arial Narrow"/>
                <w:b/>
                <w:bCs/>
                <w:sz w:val="24"/>
                <w:szCs w:val="24"/>
              </w:rPr>
              <w:t>[…]</w:t>
            </w:r>
          </w:p>
        </w:tc>
      </w:tr>
      <w:tr w:rsidR="00D3709C" w:rsidRPr="0029495A" w14:paraId="33F43F1B" w14:textId="77777777" w:rsidTr="003A71D5">
        <w:tc>
          <w:tcPr>
            <w:tcW w:w="3681" w:type="dxa"/>
          </w:tcPr>
          <w:p w14:paraId="12B9D989" w14:textId="2FA1CAF8" w:rsidR="00D3709C" w:rsidRPr="0029495A" w:rsidRDefault="00B3568A" w:rsidP="004437D5">
            <w:pPr>
              <w:pStyle w:val="Sinespaciado"/>
              <w:jc w:val="both"/>
              <w:rPr>
                <w:rFonts w:ascii="Arial Narrow" w:hAnsi="Arial Narrow"/>
                <w:sz w:val="24"/>
                <w:szCs w:val="24"/>
              </w:rPr>
            </w:pPr>
            <w:r w:rsidRPr="0029495A">
              <w:rPr>
                <w:rFonts w:ascii="Arial Narrow" w:hAnsi="Arial Narrow"/>
                <w:sz w:val="24"/>
                <w:szCs w:val="24"/>
              </w:rPr>
              <w:t xml:space="preserve">El recurso </w:t>
            </w:r>
            <w:r w:rsidR="003A71D5" w:rsidRPr="0029495A">
              <w:rPr>
                <w:rFonts w:ascii="Arial Narrow" w:hAnsi="Arial Narrow"/>
                <w:sz w:val="24"/>
                <w:szCs w:val="24"/>
              </w:rPr>
              <w:t>s</w:t>
            </w:r>
            <w:r w:rsidRPr="0029495A">
              <w:rPr>
                <w:rFonts w:ascii="Arial Narrow" w:hAnsi="Arial Narrow"/>
                <w:sz w:val="24"/>
                <w:szCs w:val="24"/>
              </w:rPr>
              <w:t>e interpone adjuntando el recibo de la tasa respectiva</w:t>
            </w:r>
          </w:p>
        </w:tc>
        <w:tc>
          <w:tcPr>
            <w:tcW w:w="4813" w:type="dxa"/>
          </w:tcPr>
          <w:p w14:paraId="7EDB08F9" w14:textId="624F1C7B" w:rsidR="00D3709C" w:rsidRPr="0029495A" w:rsidRDefault="003B441E" w:rsidP="004437D5">
            <w:pPr>
              <w:pStyle w:val="Sinespaciado"/>
              <w:jc w:val="both"/>
              <w:rPr>
                <w:rFonts w:ascii="Arial Narrow" w:hAnsi="Arial Narrow"/>
                <w:sz w:val="24"/>
                <w:szCs w:val="24"/>
              </w:rPr>
            </w:pPr>
            <w:r>
              <w:rPr>
                <w:rFonts w:ascii="Arial Narrow" w:hAnsi="Arial Narrow"/>
                <w:sz w:val="24"/>
                <w:szCs w:val="24"/>
              </w:rPr>
              <w:t>Adjunto al presente recurso arancel judicial</w:t>
            </w:r>
          </w:p>
        </w:tc>
      </w:tr>
    </w:tbl>
    <w:p w14:paraId="1F38303B" w14:textId="77777777" w:rsidR="00D3709C" w:rsidRPr="0029495A" w:rsidRDefault="00D3709C" w:rsidP="004437D5">
      <w:pPr>
        <w:pStyle w:val="Sinespaciado"/>
        <w:jc w:val="both"/>
        <w:rPr>
          <w:rFonts w:ascii="Arial Narrow" w:hAnsi="Arial Narrow"/>
          <w:sz w:val="24"/>
          <w:szCs w:val="24"/>
        </w:rPr>
      </w:pPr>
    </w:p>
    <w:p w14:paraId="6680163B" w14:textId="14EC7B38" w:rsidR="00D3709C" w:rsidRPr="0029495A" w:rsidRDefault="003A71D5" w:rsidP="004437D5">
      <w:pPr>
        <w:pStyle w:val="Sinespaciado"/>
        <w:jc w:val="both"/>
        <w:rPr>
          <w:rFonts w:ascii="Arial Narrow" w:hAnsi="Arial Narrow"/>
          <w:b/>
          <w:bCs/>
          <w:sz w:val="24"/>
          <w:szCs w:val="24"/>
        </w:rPr>
      </w:pPr>
      <w:r w:rsidRPr="0029495A">
        <w:rPr>
          <w:rFonts w:ascii="Arial Narrow" w:hAnsi="Arial Narrow"/>
          <w:b/>
          <w:bCs/>
          <w:sz w:val="24"/>
          <w:szCs w:val="24"/>
        </w:rPr>
        <w:t xml:space="preserve">III. </w:t>
      </w:r>
      <w:r w:rsidR="00D3709C" w:rsidRPr="0029495A">
        <w:rPr>
          <w:rFonts w:ascii="Arial Narrow" w:hAnsi="Arial Narrow"/>
          <w:b/>
          <w:bCs/>
          <w:sz w:val="24"/>
          <w:szCs w:val="24"/>
        </w:rPr>
        <w:t>REQUISITOS DE PROCEDENCIA DE LA SENTENCIA IMPUGNADA</w:t>
      </w:r>
    </w:p>
    <w:p w14:paraId="5AE1C84C"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En relación a la sentencia impugnada, cumplo con los requisitos de procedencia previstos en el artículo 386 y 393, inciso 1), literal c) del Código Procesal Civil</w:t>
      </w:r>
      <w:r w:rsidRPr="0029495A">
        <w:rPr>
          <w:rFonts w:ascii="Arial Narrow" w:hAnsi="Arial Narrow"/>
          <w:sz w:val="24"/>
          <w:szCs w:val="24"/>
          <w:vertAlign w:val="superscript"/>
        </w:rPr>
        <w:footnoteReference w:id="2"/>
      </w:r>
      <w:r w:rsidRPr="0029495A">
        <w:rPr>
          <w:rFonts w:ascii="Arial Narrow" w:hAnsi="Arial Narrow"/>
          <w:sz w:val="24"/>
          <w:szCs w:val="24"/>
        </w:rPr>
        <w:t xml:space="preserve"> en los siguientes términos</w:t>
      </w:r>
    </w:p>
    <w:p w14:paraId="22CDF6E9" w14:textId="77777777" w:rsidR="00D3709C" w:rsidRPr="0029495A" w:rsidRDefault="00D3709C" w:rsidP="004437D5">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4247"/>
        <w:gridCol w:w="4247"/>
      </w:tblGrid>
      <w:tr w:rsidR="00D3709C" w:rsidRPr="0029495A" w14:paraId="61B28E17" w14:textId="77777777" w:rsidTr="00556A0B">
        <w:tc>
          <w:tcPr>
            <w:tcW w:w="4247" w:type="dxa"/>
          </w:tcPr>
          <w:p w14:paraId="52860051"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Es una sentencia expedida por una sala superior, segunda instancia, que pone fin al proceso</w:t>
            </w:r>
          </w:p>
        </w:tc>
        <w:tc>
          <w:tcPr>
            <w:tcW w:w="4247" w:type="dxa"/>
          </w:tcPr>
          <w:p w14:paraId="79C6FBB0" w14:textId="56D2E7C1"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 xml:space="preserve">La emite la Sala Superior </w:t>
            </w:r>
            <w:r w:rsidR="003B441E" w:rsidRPr="003B441E">
              <w:rPr>
                <w:rFonts w:ascii="Arial Narrow" w:hAnsi="Arial Narrow"/>
                <w:b/>
                <w:bCs/>
                <w:sz w:val="24"/>
                <w:szCs w:val="24"/>
              </w:rPr>
              <w:t>[indicar denominación]</w:t>
            </w:r>
          </w:p>
        </w:tc>
      </w:tr>
      <w:tr w:rsidR="00D3709C" w:rsidRPr="0029495A" w14:paraId="29442E5B" w14:textId="77777777" w:rsidTr="00556A0B">
        <w:tc>
          <w:tcPr>
            <w:tcW w:w="4247" w:type="dxa"/>
          </w:tcPr>
          <w:p w14:paraId="1A01EBA3"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La sentencia discute una pretensión mayor a 500 URP o la pretensión es inestimable en dinero</w:t>
            </w:r>
          </w:p>
        </w:tc>
        <w:tc>
          <w:tcPr>
            <w:tcW w:w="4247" w:type="dxa"/>
          </w:tcPr>
          <w:p w14:paraId="56B9998A" w14:textId="10952F0E"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 xml:space="preserve">La pretensión es </w:t>
            </w:r>
            <w:r w:rsidR="003B441E" w:rsidRPr="003B441E">
              <w:rPr>
                <w:rFonts w:ascii="Arial Narrow" w:hAnsi="Arial Narrow"/>
                <w:b/>
                <w:bCs/>
                <w:sz w:val="24"/>
                <w:szCs w:val="24"/>
              </w:rPr>
              <w:t>[…por ejemplo, inapreciable en dinero o mi pretensión asciende</w:t>
            </w:r>
            <w:r w:rsidR="003B441E">
              <w:rPr>
                <w:rFonts w:ascii="Arial Narrow" w:hAnsi="Arial Narrow"/>
                <w:b/>
                <w:bCs/>
                <w:sz w:val="24"/>
                <w:szCs w:val="24"/>
              </w:rPr>
              <w:t>…</w:t>
            </w:r>
            <w:r w:rsidR="003B441E" w:rsidRPr="003B441E">
              <w:rPr>
                <w:rFonts w:ascii="Arial Narrow" w:hAnsi="Arial Narrow"/>
                <w:b/>
                <w:bCs/>
                <w:sz w:val="24"/>
                <w:szCs w:val="24"/>
              </w:rPr>
              <w:t>]</w:t>
            </w:r>
          </w:p>
        </w:tc>
      </w:tr>
      <w:tr w:rsidR="00D3709C" w:rsidRPr="0029495A" w14:paraId="65880381" w14:textId="77777777" w:rsidTr="00556A0B">
        <w:tc>
          <w:tcPr>
            <w:tcW w:w="4247" w:type="dxa"/>
          </w:tcPr>
          <w:p w14:paraId="37B33020"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La sentencia revoca en todo o en parte la decisión de primera instancia</w:t>
            </w:r>
          </w:p>
        </w:tc>
        <w:tc>
          <w:tcPr>
            <w:tcW w:w="4247" w:type="dxa"/>
          </w:tcPr>
          <w:p w14:paraId="704A1802" w14:textId="1EEF9B34"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 xml:space="preserve">Revoca </w:t>
            </w:r>
            <w:r w:rsidR="003B441E">
              <w:rPr>
                <w:rFonts w:ascii="Arial Narrow" w:hAnsi="Arial Narrow"/>
                <w:sz w:val="24"/>
                <w:szCs w:val="24"/>
              </w:rPr>
              <w:t>[…]</w:t>
            </w:r>
          </w:p>
        </w:tc>
      </w:tr>
      <w:tr w:rsidR="00D3709C" w:rsidRPr="0029495A" w14:paraId="0F2F5066" w14:textId="77777777" w:rsidTr="00556A0B">
        <w:tc>
          <w:tcPr>
            <w:tcW w:w="4247" w:type="dxa"/>
          </w:tcPr>
          <w:p w14:paraId="2DFB5297"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La sentencia es anulatoria</w:t>
            </w:r>
          </w:p>
        </w:tc>
        <w:tc>
          <w:tcPr>
            <w:tcW w:w="4247" w:type="dxa"/>
          </w:tcPr>
          <w:p w14:paraId="1D9C45D2" w14:textId="77777777" w:rsidR="00D3709C" w:rsidRPr="0029495A" w:rsidRDefault="00D3709C" w:rsidP="004437D5">
            <w:pPr>
              <w:pStyle w:val="Sinespaciado"/>
              <w:jc w:val="both"/>
              <w:rPr>
                <w:rFonts w:ascii="Arial Narrow" w:hAnsi="Arial Narrow"/>
                <w:sz w:val="24"/>
                <w:szCs w:val="24"/>
              </w:rPr>
            </w:pPr>
            <w:r w:rsidRPr="0029495A">
              <w:rPr>
                <w:rFonts w:ascii="Arial Narrow" w:hAnsi="Arial Narrow"/>
                <w:sz w:val="24"/>
                <w:szCs w:val="24"/>
              </w:rPr>
              <w:t>No es anulatoria</w:t>
            </w:r>
          </w:p>
        </w:tc>
      </w:tr>
      <w:tr w:rsidR="00D3709C" w:rsidRPr="0029495A" w14:paraId="2F38A08E" w14:textId="77777777" w:rsidTr="00556A0B">
        <w:tc>
          <w:tcPr>
            <w:tcW w:w="4247" w:type="dxa"/>
          </w:tcPr>
          <w:p w14:paraId="252C1AFE" w14:textId="19AD67B8" w:rsidR="00D3709C" w:rsidRPr="0029495A" w:rsidRDefault="004437D5" w:rsidP="004437D5">
            <w:pPr>
              <w:pStyle w:val="Sinespaciado"/>
              <w:jc w:val="both"/>
              <w:rPr>
                <w:rFonts w:ascii="Arial Narrow" w:hAnsi="Arial Narrow"/>
                <w:sz w:val="24"/>
                <w:szCs w:val="24"/>
              </w:rPr>
            </w:pPr>
            <w:r w:rsidRPr="0029495A">
              <w:rPr>
                <w:rFonts w:ascii="Arial Narrow" w:hAnsi="Arial Narrow"/>
                <w:sz w:val="24"/>
                <w:szCs w:val="24"/>
              </w:rPr>
              <w:t>E</w:t>
            </w:r>
            <w:r w:rsidR="00D3709C" w:rsidRPr="0029495A">
              <w:rPr>
                <w:rFonts w:ascii="Arial Narrow" w:hAnsi="Arial Narrow"/>
                <w:sz w:val="24"/>
                <w:szCs w:val="24"/>
              </w:rPr>
              <w:t>l recurrente hubiera consentido previamente la resolución adversa de primera instancia, si esta fuere confirmada por la resolución objeto del recurso</w:t>
            </w:r>
          </w:p>
        </w:tc>
        <w:tc>
          <w:tcPr>
            <w:tcW w:w="4247" w:type="dxa"/>
          </w:tcPr>
          <w:p w14:paraId="2814561F" w14:textId="481797FB" w:rsidR="00D3709C" w:rsidRPr="003B441E" w:rsidRDefault="003B441E" w:rsidP="004437D5">
            <w:pPr>
              <w:pStyle w:val="Sinespaciado"/>
              <w:jc w:val="both"/>
              <w:rPr>
                <w:rFonts w:ascii="Arial Narrow" w:hAnsi="Arial Narrow"/>
                <w:b/>
                <w:bCs/>
                <w:sz w:val="24"/>
                <w:szCs w:val="24"/>
              </w:rPr>
            </w:pPr>
            <w:r w:rsidRPr="003B441E">
              <w:rPr>
                <w:rFonts w:ascii="Arial Narrow" w:hAnsi="Arial Narrow"/>
                <w:b/>
                <w:bCs/>
                <w:sz w:val="24"/>
                <w:szCs w:val="24"/>
              </w:rPr>
              <w:t>[</w:t>
            </w:r>
            <w:r>
              <w:rPr>
                <w:rFonts w:ascii="Arial Narrow" w:hAnsi="Arial Narrow"/>
                <w:b/>
                <w:bCs/>
                <w:sz w:val="24"/>
                <w:szCs w:val="24"/>
              </w:rPr>
              <w:t>…</w:t>
            </w:r>
            <w:r w:rsidRPr="003B441E">
              <w:rPr>
                <w:rFonts w:ascii="Arial Narrow" w:hAnsi="Arial Narrow"/>
                <w:b/>
                <w:bCs/>
                <w:sz w:val="24"/>
                <w:szCs w:val="24"/>
              </w:rPr>
              <w:t>por ejemplo, l</w:t>
            </w:r>
            <w:r w:rsidR="00D3709C" w:rsidRPr="003B441E">
              <w:rPr>
                <w:rFonts w:ascii="Arial Narrow" w:hAnsi="Arial Narrow"/>
                <w:b/>
                <w:bCs/>
                <w:sz w:val="24"/>
                <w:szCs w:val="24"/>
              </w:rPr>
              <w:t>a sentencia de primera instancia declaró fundada la demanda</w:t>
            </w:r>
            <w:r w:rsidRPr="003B441E">
              <w:rPr>
                <w:rFonts w:ascii="Arial Narrow" w:hAnsi="Arial Narrow"/>
                <w:b/>
                <w:bCs/>
                <w:sz w:val="24"/>
                <w:szCs w:val="24"/>
              </w:rPr>
              <w:t>…]</w:t>
            </w:r>
          </w:p>
        </w:tc>
      </w:tr>
    </w:tbl>
    <w:p w14:paraId="2A743164" w14:textId="77777777" w:rsidR="00D3709C" w:rsidRPr="0029495A" w:rsidRDefault="00D3709C" w:rsidP="004437D5">
      <w:pPr>
        <w:pStyle w:val="Sinespaciado"/>
        <w:jc w:val="both"/>
        <w:rPr>
          <w:rFonts w:ascii="Arial Narrow" w:hAnsi="Arial Narrow"/>
          <w:sz w:val="24"/>
          <w:szCs w:val="24"/>
        </w:rPr>
      </w:pPr>
    </w:p>
    <w:p w14:paraId="46979FF2" w14:textId="66E8E8B3" w:rsidR="00D3709C" w:rsidRPr="0029495A" w:rsidRDefault="003A71D5" w:rsidP="004437D5">
      <w:pPr>
        <w:pStyle w:val="Sinespaciado"/>
        <w:jc w:val="both"/>
        <w:rPr>
          <w:rFonts w:ascii="Arial Narrow" w:hAnsi="Arial Narrow"/>
          <w:b/>
          <w:bCs/>
          <w:sz w:val="24"/>
          <w:szCs w:val="24"/>
        </w:rPr>
      </w:pPr>
      <w:r w:rsidRPr="0029495A">
        <w:rPr>
          <w:rFonts w:ascii="Arial Narrow" w:hAnsi="Arial Narrow"/>
          <w:b/>
          <w:bCs/>
          <w:sz w:val="24"/>
          <w:szCs w:val="24"/>
        </w:rPr>
        <w:t xml:space="preserve">IV. </w:t>
      </w:r>
      <w:r w:rsidR="00172AB1" w:rsidRPr="0029495A">
        <w:rPr>
          <w:rFonts w:ascii="Arial Narrow" w:hAnsi="Arial Narrow"/>
          <w:b/>
          <w:bCs/>
          <w:sz w:val="24"/>
          <w:szCs w:val="24"/>
        </w:rPr>
        <w:t>REQUISITOS DE PROCEDENCIA DEL RECURSO DE CASACIÓN</w:t>
      </w:r>
    </w:p>
    <w:p w14:paraId="20235774" w14:textId="55634607" w:rsidR="00A80556" w:rsidRPr="0029495A" w:rsidRDefault="00A80556" w:rsidP="004437D5">
      <w:pPr>
        <w:pStyle w:val="Sinespaciado"/>
        <w:jc w:val="both"/>
        <w:rPr>
          <w:rFonts w:ascii="Arial Narrow" w:hAnsi="Arial Narrow"/>
          <w:sz w:val="24"/>
          <w:szCs w:val="24"/>
        </w:rPr>
      </w:pPr>
      <w:r w:rsidRPr="0029495A">
        <w:rPr>
          <w:rFonts w:ascii="Arial Narrow" w:hAnsi="Arial Narrow"/>
          <w:sz w:val="24"/>
          <w:szCs w:val="24"/>
        </w:rPr>
        <w:t xml:space="preserve">El artículo 391, numeral 1, del Código Procesal Civil indica </w:t>
      </w:r>
      <w:r w:rsidRPr="0029495A">
        <w:rPr>
          <w:rFonts w:ascii="Arial Narrow" w:hAnsi="Arial Narrow"/>
          <w:i/>
          <w:iCs/>
          <w:sz w:val="24"/>
          <w:szCs w:val="24"/>
        </w:rPr>
        <w:t>“1. El recurso de casación debe indicar separadamente cada causal invocada. Asimismo, citar concretamente los preceptos legales que considere erróneamente aplicados o inobservados, precisa el fundamento o los fundamentos doctrinales y legales que sustenten su pretensión y expresa específicamente cuál es la aplicación que pretende”.</w:t>
      </w:r>
    </w:p>
    <w:p w14:paraId="3B3B0EF0" w14:textId="437E0BC8" w:rsidR="00A80556" w:rsidRPr="0029495A" w:rsidRDefault="00A80556" w:rsidP="004437D5">
      <w:pPr>
        <w:pStyle w:val="Sinespaciado"/>
        <w:jc w:val="both"/>
        <w:rPr>
          <w:rFonts w:ascii="Arial Narrow" w:hAnsi="Arial Narrow"/>
          <w:sz w:val="24"/>
          <w:szCs w:val="24"/>
        </w:rPr>
      </w:pPr>
    </w:p>
    <w:p w14:paraId="5596D4CB" w14:textId="13F1B536" w:rsidR="00A80556" w:rsidRPr="0029495A" w:rsidRDefault="00A80556" w:rsidP="004437D5">
      <w:pPr>
        <w:pStyle w:val="Sinespaciado"/>
        <w:jc w:val="both"/>
        <w:rPr>
          <w:rFonts w:ascii="Arial Narrow" w:hAnsi="Arial Narrow"/>
          <w:sz w:val="24"/>
          <w:szCs w:val="24"/>
        </w:rPr>
      </w:pPr>
      <w:r w:rsidRPr="0029495A">
        <w:rPr>
          <w:rFonts w:ascii="Arial Narrow" w:hAnsi="Arial Narrow"/>
          <w:sz w:val="24"/>
          <w:szCs w:val="24"/>
        </w:rPr>
        <w:t>Dentro de este contexto, procedo a detallar lo indicado en los siguientes términos:</w:t>
      </w:r>
    </w:p>
    <w:p w14:paraId="3AC1A725" w14:textId="77777777" w:rsidR="00A80556" w:rsidRPr="0029495A" w:rsidRDefault="00A80556" w:rsidP="004437D5">
      <w:pPr>
        <w:pStyle w:val="Sinespaciado"/>
        <w:jc w:val="both"/>
        <w:rPr>
          <w:rFonts w:ascii="Arial Narrow" w:hAnsi="Arial Narrow"/>
          <w:sz w:val="24"/>
          <w:szCs w:val="24"/>
        </w:rPr>
      </w:pPr>
    </w:p>
    <w:p w14:paraId="426D70C9" w14:textId="398EFD6C" w:rsidR="00A80556" w:rsidRPr="0029495A" w:rsidRDefault="003A71D5" w:rsidP="004437D5">
      <w:pPr>
        <w:pStyle w:val="Sinespaciado"/>
        <w:jc w:val="both"/>
        <w:rPr>
          <w:rFonts w:ascii="Arial Narrow" w:hAnsi="Arial Narrow"/>
          <w:b/>
          <w:bCs/>
          <w:sz w:val="24"/>
          <w:szCs w:val="24"/>
        </w:rPr>
      </w:pPr>
      <w:r w:rsidRPr="0029495A">
        <w:rPr>
          <w:rFonts w:ascii="Arial Narrow" w:hAnsi="Arial Narrow"/>
          <w:b/>
          <w:bCs/>
          <w:sz w:val="24"/>
          <w:szCs w:val="24"/>
        </w:rPr>
        <w:lastRenderedPageBreak/>
        <w:t>IV.1. INDICACIÓN DE LA CAUSAL INVOCADA</w:t>
      </w:r>
    </w:p>
    <w:p w14:paraId="18F1D59D" w14:textId="700B1597" w:rsidR="004B7E42" w:rsidRPr="0029495A" w:rsidRDefault="004B7E42" w:rsidP="004437D5">
      <w:pPr>
        <w:pStyle w:val="Sinespaciado"/>
        <w:jc w:val="both"/>
        <w:rPr>
          <w:rFonts w:ascii="Arial Narrow" w:hAnsi="Arial Narrow"/>
          <w:sz w:val="24"/>
          <w:szCs w:val="24"/>
        </w:rPr>
      </w:pPr>
      <w:r w:rsidRPr="0029495A">
        <w:rPr>
          <w:rFonts w:ascii="Arial Narrow" w:hAnsi="Arial Narrow"/>
          <w:sz w:val="24"/>
          <w:szCs w:val="24"/>
        </w:rPr>
        <w:t xml:space="preserve">Se invoca la causal contenida en el inciso 5) del artículo 388 del Código Procesal Civil que indica </w:t>
      </w:r>
      <w:r w:rsidRPr="0029495A">
        <w:rPr>
          <w:rFonts w:ascii="Arial Narrow" w:hAnsi="Arial Narrow"/>
          <w:i/>
          <w:iCs/>
          <w:sz w:val="24"/>
          <w:szCs w:val="24"/>
        </w:rPr>
        <w:t>“Son causales para interponer recurso de casación”: “5. Si la sentencia o auto se aparta de las decisiones vinculantes del Tribunal Constitucional o de la Corte Suprema”</w:t>
      </w:r>
      <w:r w:rsidR="003E4FC7" w:rsidRPr="0029495A">
        <w:rPr>
          <w:rFonts w:ascii="Arial Narrow" w:hAnsi="Arial Narrow"/>
          <w:sz w:val="24"/>
          <w:szCs w:val="24"/>
        </w:rPr>
        <w:t>; en el presente caso</w:t>
      </w:r>
      <w:r w:rsidR="003E4FC7" w:rsidRPr="0029495A">
        <w:rPr>
          <w:rFonts w:ascii="Arial Narrow" w:hAnsi="Arial Narrow"/>
          <w:b/>
          <w:bCs/>
          <w:sz w:val="24"/>
          <w:szCs w:val="24"/>
        </w:rPr>
        <w:t xml:space="preserve">, la Sentencia de Segunda Instancia </w:t>
      </w:r>
      <w:r w:rsidR="003B441E">
        <w:rPr>
          <w:rFonts w:ascii="Arial Narrow" w:hAnsi="Arial Narrow"/>
          <w:b/>
          <w:bCs/>
          <w:sz w:val="24"/>
          <w:szCs w:val="24"/>
        </w:rPr>
        <w:t>[identificar la numeración de la sentencia]</w:t>
      </w:r>
      <w:r w:rsidR="003E4FC7" w:rsidRPr="0029495A">
        <w:rPr>
          <w:rFonts w:ascii="Arial Narrow" w:hAnsi="Arial Narrow"/>
          <w:b/>
          <w:bCs/>
          <w:sz w:val="24"/>
          <w:szCs w:val="24"/>
        </w:rPr>
        <w:t xml:space="preserve"> de </w:t>
      </w:r>
      <w:r w:rsidR="003B441E">
        <w:rPr>
          <w:rFonts w:ascii="Arial Narrow" w:hAnsi="Arial Narrow"/>
          <w:b/>
          <w:bCs/>
          <w:sz w:val="24"/>
          <w:szCs w:val="24"/>
        </w:rPr>
        <w:t>[indicar la fecha de emisión]</w:t>
      </w:r>
      <w:r w:rsidR="003E4FC7" w:rsidRPr="0029495A">
        <w:rPr>
          <w:rFonts w:ascii="Arial Narrow" w:hAnsi="Arial Narrow"/>
          <w:b/>
          <w:bCs/>
          <w:sz w:val="24"/>
          <w:szCs w:val="24"/>
        </w:rPr>
        <w:t xml:space="preserve"> se aparta de la doctrina jurisprudencial contenida en </w:t>
      </w:r>
      <w:r w:rsidR="003B441E">
        <w:rPr>
          <w:rFonts w:ascii="Arial Narrow" w:hAnsi="Arial Narrow"/>
          <w:b/>
          <w:bCs/>
          <w:sz w:val="24"/>
          <w:szCs w:val="24"/>
        </w:rPr>
        <w:t xml:space="preserve">[…indicar la decisión vinculante, por ejemplo, </w:t>
      </w:r>
      <w:r w:rsidR="003E4FC7" w:rsidRPr="0029495A">
        <w:rPr>
          <w:rFonts w:ascii="Arial Narrow" w:hAnsi="Arial Narrow"/>
          <w:b/>
          <w:bCs/>
          <w:sz w:val="24"/>
          <w:szCs w:val="24"/>
        </w:rPr>
        <w:t>el décimo segundo considerando de la Sentencia de Casación 34268-2019 Cajamarca</w:t>
      </w:r>
      <w:r w:rsidR="003B441E">
        <w:rPr>
          <w:rFonts w:ascii="Arial Narrow" w:hAnsi="Arial Narrow"/>
          <w:b/>
          <w:bCs/>
          <w:sz w:val="24"/>
          <w:szCs w:val="24"/>
        </w:rPr>
        <w:t>]</w:t>
      </w:r>
      <w:r w:rsidR="003E4FC7" w:rsidRPr="0029495A">
        <w:rPr>
          <w:rFonts w:ascii="Arial Narrow" w:hAnsi="Arial Narrow"/>
          <w:sz w:val="24"/>
          <w:szCs w:val="24"/>
        </w:rPr>
        <w:t xml:space="preserve"> emitida el </w:t>
      </w:r>
      <w:r w:rsidR="003B441E" w:rsidRPr="003B441E">
        <w:rPr>
          <w:rFonts w:ascii="Arial Narrow" w:hAnsi="Arial Narrow"/>
          <w:b/>
          <w:bCs/>
          <w:sz w:val="24"/>
          <w:szCs w:val="24"/>
        </w:rPr>
        <w:t>[…]</w:t>
      </w:r>
      <w:r w:rsidR="003E4FC7" w:rsidRPr="0029495A">
        <w:rPr>
          <w:rFonts w:ascii="Arial Narrow" w:hAnsi="Arial Narrow"/>
          <w:sz w:val="24"/>
          <w:szCs w:val="24"/>
        </w:rPr>
        <w:t xml:space="preserve"> por la </w:t>
      </w:r>
      <w:r w:rsidR="003B441E">
        <w:rPr>
          <w:rFonts w:ascii="Arial Narrow" w:hAnsi="Arial Narrow"/>
          <w:sz w:val="24"/>
          <w:szCs w:val="24"/>
        </w:rPr>
        <w:t xml:space="preserve">Sala Suprema </w:t>
      </w:r>
      <w:r w:rsidR="003B441E" w:rsidRPr="003B441E">
        <w:rPr>
          <w:rFonts w:ascii="Arial Narrow" w:hAnsi="Arial Narrow"/>
          <w:b/>
          <w:bCs/>
          <w:sz w:val="24"/>
          <w:szCs w:val="24"/>
        </w:rPr>
        <w:t>[indicar la denominación de la Sala Suprema]</w:t>
      </w:r>
      <w:r w:rsidRPr="0029495A">
        <w:rPr>
          <w:rFonts w:ascii="Arial Narrow" w:hAnsi="Arial Narrow"/>
          <w:sz w:val="24"/>
          <w:szCs w:val="24"/>
        </w:rPr>
        <w:t xml:space="preserve">. </w:t>
      </w:r>
    </w:p>
    <w:p w14:paraId="6437D8B5" w14:textId="109CB79D" w:rsidR="00A80556" w:rsidRPr="0029495A" w:rsidRDefault="00A80556" w:rsidP="004437D5">
      <w:pPr>
        <w:pStyle w:val="Sinespaciado"/>
        <w:jc w:val="both"/>
        <w:rPr>
          <w:rFonts w:ascii="Arial Narrow" w:hAnsi="Arial Narrow"/>
          <w:sz w:val="24"/>
          <w:szCs w:val="24"/>
        </w:rPr>
      </w:pPr>
    </w:p>
    <w:p w14:paraId="7B8C9E71" w14:textId="4C67FDCA" w:rsidR="00A80556" w:rsidRPr="0029495A" w:rsidRDefault="000C7AC4" w:rsidP="004437D5">
      <w:pPr>
        <w:pStyle w:val="Sinespaciado"/>
        <w:jc w:val="both"/>
        <w:rPr>
          <w:rFonts w:ascii="Arial Narrow" w:hAnsi="Arial Narrow"/>
          <w:b/>
          <w:bCs/>
          <w:sz w:val="24"/>
          <w:szCs w:val="24"/>
        </w:rPr>
      </w:pPr>
      <w:r w:rsidRPr="0029495A">
        <w:rPr>
          <w:rFonts w:ascii="Arial Narrow" w:hAnsi="Arial Narrow"/>
          <w:b/>
          <w:bCs/>
          <w:sz w:val="24"/>
          <w:szCs w:val="24"/>
        </w:rPr>
        <w:t>IV.2. CITACIÓN CONCRETA DE LOS PRECEPTOS LEGALES ERRÓNEAMENTE APLICADOS O INOBSERVADOS</w:t>
      </w:r>
    </w:p>
    <w:p w14:paraId="7D735D68" w14:textId="361A8C87" w:rsidR="00A80556" w:rsidRPr="0029495A" w:rsidRDefault="003E4FC7" w:rsidP="004437D5">
      <w:pPr>
        <w:pStyle w:val="Sinespaciado"/>
        <w:jc w:val="both"/>
        <w:rPr>
          <w:rFonts w:ascii="Arial Narrow" w:hAnsi="Arial Narrow"/>
          <w:sz w:val="24"/>
          <w:szCs w:val="24"/>
        </w:rPr>
      </w:pPr>
      <w:r w:rsidRPr="0029495A">
        <w:rPr>
          <w:rFonts w:ascii="Arial Narrow" w:hAnsi="Arial Narrow"/>
          <w:sz w:val="24"/>
          <w:szCs w:val="24"/>
        </w:rPr>
        <w:t xml:space="preserve">Se ha inobservado el décimo segundo considerando de la Sentencia de Casación 34268-2019 Cajamarca emitida el </w:t>
      </w:r>
      <w:r w:rsidR="003D3DFC" w:rsidRPr="003D3DFC">
        <w:rPr>
          <w:rFonts w:ascii="Arial Narrow" w:hAnsi="Arial Narrow"/>
          <w:b/>
          <w:bCs/>
          <w:sz w:val="24"/>
          <w:szCs w:val="24"/>
        </w:rPr>
        <w:t>[…]</w:t>
      </w:r>
      <w:r w:rsidRPr="0029495A">
        <w:rPr>
          <w:rFonts w:ascii="Arial Narrow" w:hAnsi="Arial Narrow"/>
          <w:sz w:val="24"/>
          <w:szCs w:val="24"/>
        </w:rPr>
        <w:t xml:space="preserve"> por la </w:t>
      </w:r>
      <w:r w:rsidR="003D3DFC" w:rsidRPr="003D3DFC">
        <w:rPr>
          <w:rFonts w:ascii="Arial Narrow" w:hAnsi="Arial Narrow"/>
          <w:b/>
          <w:bCs/>
          <w:sz w:val="24"/>
          <w:szCs w:val="24"/>
        </w:rPr>
        <w:t>[indicar la denominación de la sala suprema]</w:t>
      </w:r>
      <w:r w:rsidRPr="0029495A">
        <w:rPr>
          <w:rFonts w:ascii="Arial Narrow" w:hAnsi="Arial Narrow"/>
          <w:sz w:val="24"/>
          <w:szCs w:val="24"/>
        </w:rPr>
        <w:t>.</w:t>
      </w:r>
    </w:p>
    <w:p w14:paraId="4570C8B4" w14:textId="77777777" w:rsidR="003E4FC7" w:rsidRPr="0029495A" w:rsidRDefault="003E4FC7" w:rsidP="004437D5">
      <w:pPr>
        <w:pStyle w:val="Sinespaciado"/>
        <w:jc w:val="both"/>
        <w:rPr>
          <w:rFonts w:ascii="Arial Narrow" w:hAnsi="Arial Narrow"/>
          <w:sz w:val="24"/>
          <w:szCs w:val="24"/>
        </w:rPr>
      </w:pPr>
    </w:p>
    <w:p w14:paraId="5CA74392" w14:textId="532C2310" w:rsidR="00A80556" w:rsidRPr="0029495A" w:rsidRDefault="000C7AC4" w:rsidP="004437D5">
      <w:pPr>
        <w:pStyle w:val="Sinespaciado"/>
        <w:jc w:val="both"/>
        <w:rPr>
          <w:rFonts w:ascii="Arial Narrow" w:hAnsi="Arial Narrow"/>
          <w:b/>
          <w:bCs/>
          <w:sz w:val="24"/>
          <w:szCs w:val="24"/>
        </w:rPr>
      </w:pPr>
      <w:r w:rsidRPr="0029495A">
        <w:rPr>
          <w:rFonts w:ascii="Arial Narrow" w:hAnsi="Arial Narrow"/>
          <w:b/>
          <w:bCs/>
          <w:sz w:val="24"/>
          <w:szCs w:val="24"/>
        </w:rPr>
        <w:t>IV.3. PRECISIÓN DE LOS FUNDAMENTOS DOCTRINALES Y LEGALES QUE SUSTENTAN MI PRETENSIÓN</w:t>
      </w:r>
    </w:p>
    <w:p w14:paraId="01CBC2AD" w14:textId="77777777" w:rsidR="003D3DFC" w:rsidRDefault="003D3DFC" w:rsidP="004437D5">
      <w:pPr>
        <w:pStyle w:val="Sinespaciado"/>
        <w:jc w:val="both"/>
        <w:rPr>
          <w:rFonts w:ascii="Arial Narrow" w:hAnsi="Arial Narrow"/>
          <w:sz w:val="24"/>
          <w:szCs w:val="24"/>
        </w:rPr>
      </w:pPr>
    </w:p>
    <w:p w14:paraId="464AF407" w14:textId="15226A12" w:rsidR="003D3DFC" w:rsidRPr="003D3DFC" w:rsidRDefault="003D3DFC" w:rsidP="003D3DFC">
      <w:pPr>
        <w:pStyle w:val="Sinespaciado"/>
        <w:jc w:val="center"/>
        <w:rPr>
          <w:rFonts w:ascii="Arial Narrow" w:hAnsi="Arial Narrow"/>
          <w:b/>
          <w:bCs/>
          <w:sz w:val="24"/>
          <w:szCs w:val="24"/>
        </w:rPr>
      </w:pPr>
      <w:r w:rsidRPr="003D3DFC">
        <w:rPr>
          <w:rFonts w:ascii="Arial Narrow" w:hAnsi="Arial Narrow"/>
          <w:b/>
          <w:bCs/>
          <w:sz w:val="24"/>
          <w:szCs w:val="24"/>
        </w:rPr>
        <w:t>[…indica los fundamentos que acreditan la causal alegada…a continuación le ofrecemos un ejemplo…]</w:t>
      </w:r>
    </w:p>
    <w:p w14:paraId="644BFBCB" w14:textId="77777777" w:rsidR="003D3DFC" w:rsidRDefault="003D3DFC" w:rsidP="004437D5">
      <w:pPr>
        <w:pStyle w:val="Sinespaciado"/>
        <w:jc w:val="both"/>
        <w:rPr>
          <w:rFonts w:ascii="Arial Narrow" w:hAnsi="Arial Narrow"/>
          <w:sz w:val="24"/>
          <w:szCs w:val="24"/>
        </w:rPr>
      </w:pPr>
    </w:p>
    <w:p w14:paraId="4309432F" w14:textId="00F807AC" w:rsidR="00A80556" w:rsidRPr="0029495A" w:rsidRDefault="000C7AC4" w:rsidP="004437D5">
      <w:pPr>
        <w:pStyle w:val="Sinespaciado"/>
        <w:jc w:val="both"/>
        <w:rPr>
          <w:rFonts w:ascii="Arial Narrow" w:hAnsi="Arial Narrow"/>
          <w:sz w:val="24"/>
          <w:szCs w:val="24"/>
        </w:rPr>
      </w:pPr>
      <w:r w:rsidRPr="0029495A">
        <w:rPr>
          <w:rFonts w:ascii="Arial Narrow" w:hAnsi="Arial Narrow"/>
          <w:sz w:val="24"/>
          <w:szCs w:val="24"/>
        </w:rPr>
        <w:t xml:space="preserve">1. </w:t>
      </w:r>
      <w:r w:rsidR="003E4FC7" w:rsidRPr="0029495A">
        <w:rPr>
          <w:rFonts w:ascii="Arial Narrow" w:hAnsi="Arial Narrow"/>
          <w:sz w:val="24"/>
          <w:szCs w:val="24"/>
        </w:rPr>
        <w:t>Con fecha 12 de diciembre de 2022, se emite la Sentencia de Segunda Instancia (Resolución número Seis) que en su sétimo considerando indica</w:t>
      </w:r>
    </w:p>
    <w:p w14:paraId="44D92EBC" w14:textId="5AE2C56D" w:rsidR="003E4FC7" w:rsidRPr="0029495A" w:rsidRDefault="003E4FC7" w:rsidP="004437D5">
      <w:pPr>
        <w:pStyle w:val="Sinespaciado"/>
        <w:jc w:val="both"/>
        <w:rPr>
          <w:rFonts w:ascii="Arial Narrow" w:hAnsi="Arial Narrow"/>
          <w:sz w:val="24"/>
          <w:szCs w:val="24"/>
        </w:rPr>
      </w:pPr>
    </w:p>
    <w:p w14:paraId="48BCCC5A" w14:textId="0FAACBA0" w:rsidR="003E4FC7" w:rsidRPr="0029495A" w:rsidRDefault="003E4FC7" w:rsidP="004437D5">
      <w:pPr>
        <w:pStyle w:val="Sinespaciado"/>
        <w:jc w:val="both"/>
        <w:rPr>
          <w:rFonts w:ascii="Arial Narrow" w:hAnsi="Arial Narrow"/>
          <w:i/>
          <w:iCs/>
          <w:sz w:val="24"/>
          <w:szCs w:val="24"/>
        </w:rPr>
      </w:pPr>
      <w:r w:rsidRPr="0029495A">
        <w:rPr>
          <w:rFonts w:ascii="Arial Narrow" w:hAnsi="Arial Narrow"/>
          <w:i/>
          <w:iCs/>
          <w:sz w:val="24"/>
          <w:szCs w:val="24"/>
        </w:rPr>
        <w:t xml:space="preserve">“En el marco de los precedentes vinculantes, que son pronunciamientos del Tribunal Constitucional que contienen parámetros normativos generales a observar por los jueces de todas las instancias judiciales; así como funcionarios de todos los poderes públicos e incluso por los particulares, </w:t>
      </w:r>
      <w:r w:rsidRPr="0029495A">
        <w:rPr>
          <w:rFonts w:ascii="Arial Narrow" w:hAnsi="Arial Narrow"/>
          <w:b/>
          <w:bCs/>
          <w:i/>
          <w:iCs/>
          <w:sz w:val="24"/>
          <w:szCs w:val="24"/>
        </w:rPr>
        <w:t>dada su naturaleza erga omnes, debemos referirnos al precedente vinculante emitido por el Tribunal Constitucional contenido en el Expediente N° 5057-2013-PA/TC-JUNÍN, en cuyo fundamento 13 se establece: “De lo expuesto se puede sostener que el ingreso del personal con vínculo laboral indeterminado, en la Administración Pública, necesariamente ha de efectuarse a partir de criterios estrictamente meritocráticos, a través de un concurso público y abierto</w:t>
      </w:r>
      <w:r w:rsidRPr="0029495A">
        <w:rPr>
          <w:rFonts w:ascii="Arial Narrow" w:hAnsi="Arial Narrow"/>
          <w:i/>
          <w:iCs/>
          <w:sz w:val="24"/>
          <w:szCs w:val="24"/>
        </w:rPr>
        <w:t>”</w:t>
      </w:r>
      <w:r w:rsidR="000C7AC4" w:rsidRPr="0029495A">
        <w:rPr>
          <w:rFonts w:ascii="Arial Narrow" w:hAnsi="Arial Narrow"/>
          <w:i/>
          <w:iCs/>
          <w:sz w:val="24"/>
          <w:szCs w:val="24"/>
        </w:rPr>
        <w:t xml:space="preserve"> (el resaltado es nuestro)</w:t>
      </w:r>
    </w:p>
    <w:p w14:paraId="49535514" w14:textId="77777777" w:rsidR="000C7AC4" w:rsidRPr="0029495A" w:rsidRDefault="000C7AC4" w:rsidP="004437D5">
      <w:pPr>
        <w:pStyle w:val="Sinespaciado"/>
        <w:jc w:val="both"/>
        <w:rPr>
          <w:rFonts w:ascii="Arial Narrow" w:hAnsi="Arial Narrow"/>
          <w:sz w:val="24"/>
          <w:szCs w:val="24"/>
        </w:rPr>
      </w:pPr>
    </w:p>
    <w:p w14:paraId="16A7791D" w14:textId="0A772673" w:rsidR="00F169B5" w:rsidRPr="0029495A" w:rsidRDefault="000C7AC4" w:rsidP="004437D5">
      <w:pPr>
        <w:pStyle w:val="Sinespaciado"/>
        <w:jc w:val="both"/>
        <w:rPr>
          <w:rFonts w:ascii="Arial Narrow" w:hAnsi="Arial Narrow"/>
          <w:sz w:val="24"/>
          <w:szCs w:val="24"/>
        </w:rPr>
      </w:pPr>
      <w:r w:rsidRPr="0029495A">
        <w:rPr>
          <w:rFonts w:ascii="Arial Narrow" w:hAnsi="Arial Narrow"/>
          <w:sz w:val="24"/>
          <w:szCs w:val="24"/>
        </w:rPr>
        <w:t xml:space="preserve">2. </w:t>
      </w:r>
      <w:r w:rsidR="00F169B5" w:rsidRPr="0029495A">
        <w:rPr>
          <w:rFonts w:ascii="Arial Narrow" w:hAnsi="Arial Narrow"/>
          <w:sz w:val="24"/>
          <w:szCs w:val="24"/>
        </w:rPr>
        <w:t xml:space="preserve">Sin embargo, </w:t>
      </w:r>
      <w:r w:rsidR="00F169B5" w:rsidRPr="0029495A">
        <w:rPr>
          <w:rFonts w:ascii="Arial Narrow" w:hAnsi="Arial Narrow"/>
          <w:b/>
          <w:bCs/>
          <w:sz w:val="24"/>
          <w:szCs w:val="24"/>
        </w:rPr>
        <w:t xml:space="preserve">los considerandos sétimo, octavo, noveno y décimo de la sentencia de vista </w:t>
      </w:r>
      <w:r w:rsidRPr="0029495A">
        <w:rPr>
          <w:rFonts w:ascii="Arial Narrow" w:hAnsi="Arial Narrow"/>
          <w:b/>
          <w:bCs/>
          <w:sz w:val="24"/>
          <w:szCs w:val="24"/>
        </w:rPr>
        <w:t xml:space="preserve">impugnada </w:t>
      </w:r>
      <w:r w:rsidR="00F169B5" w:rsidRPr="0029495A">
        <w:rPr>
          <w:rFonts w:ascii="Arial Narrow" w:hAnsi="Arial Narrow"/>
          <w:b/>
          <w:bCs/>
          <w:sz w:val="24"/>
          <w:szCs w:val="24"/>
        </w:rPr>
        <w:t xml:space="preserve">se han apartado </w:t>
      </w:r>
      <w:r w:rsidRPr="0029495A">
        <w:rPr>
          <w:rFonts w:ascii="Arial Narrow" w:hAnsi="Arial Narrow"/>
          <w:b/>
          <w:bCs/>
          <w:sz w:val="24"/>
          <w:szCs w:val="24"/>
        </w:rPr>
        <w:t xml:space="preserve">manifiestamente </w:t>
      </w:r>
      <w:r w:rsidR="00F169B5" w:rsidRPr="0029495A">
        <w:rPr>
          <w:rFonts w:ascii="Arial Narrow" w:hAnsi="Arial Narrow"/>
          <w:b/>
          <w:bCs/>
          <w:sz w:val="24"/>
          <w:szCs w:val="24"/>
        </w:rPr>
        <w:t>de la Sentencia de Casación Laboral 34268-2019 Cajamarca emitida con anterioridad a la sentencia de vista impugnada, esto es, el 06 de octubre de 2022, que en su décimo segundo considerando</w:t>
      </w:r>
      <w:r w:rsidR="00F169B5" w:rsidRPr="0029495A">
        <w:rPr>
          <w:rFonts w:ascii="Arial Narrow" w:hAnsi="Arial Narrow"/>
          <w:sz w:val="24"/>
          <w:szCs w:val="24"/>
        </w:rPr>
        <w:t xml:space="preserve"> indica</w:t>
      </w:r>
    </w:p>
    <w:p w14:paraId="26653ABF" w14:textId="148B89E1" w:rsidR="00F169B5" w:rsidRPr="0029495A" w:rsidRDefault="00F169B5" w:rsidP="004437D5">
      <w:pPr>
        <w:pStyle w:val="Sinespaciado"/>
        <w:jc w:val="both"/>
        <w:rPr>
          <w:rFonts w:ascii="Arial Narrow" w:hAnsi="Arial Narrow"/>
          <w:sz w:val="24"/>
          <w:szCs w:val="24"/>
        </w:rPr>
      </w:pPr>
    </w:p>
    <w:p w14:paraId="48354412" w14:textId="62A8F794" w:rsidR="00F169B5" w:rsidRPr="0029495A" w:rsidRDefault="00F169B5" w:rsidP="004437D5">
      <w:pPr>
        <w:pStyle w:val="Sinespaciado"/>
        <w:jc w:val="both"/>
        <w:rPr>
          <w:rFonts w:ascii="Arial Narrow" w:hAnsi="Arial Narrow"/>
          <w:i/>
          <w:iCs/>
          <w:sz w:val="24"/>
          <w:szCs w:val="24"/>
        </w:rPr>
      </w:pPr>
      <w:r w:rsidRPr="0029495A">
        <w:rPr>
          <w:rFonts w:ascii="Arial Narrow" w:hAnsi="Arial Narrow"/>
          <w:i/>
          <w:iCs/>
          <w:sz w:val="24"/>
          <w:szCs w:val="24"/>
        </w:rPr>
        <w:t>“</w:t>
      </w:r>
      <w:r w:rsidRPr="0029495A">
        <w:rPr>
          <w:rFonts w:ascii="Arial Narrow" w:hAnsi="Arial Narrow"/>
          <w:b/>
          <w:bCs/>
          <w:i/>
          <w:iCs/>
          <w:sz w:val="24"/>
          <w:szCs w:val="24"/>
        </w:rPr>
        <w:t>Doctrina jurisprudencial</w:t>
      </w:r>
      <w:r w:rsidRPr="0029495A">
        <w:rPr>
          <w:rFonts w:ascii="Arial Narrow" w:hAnsi="Arial Narrow"/>
          <w:i/>
          <w:iCs/>
          <w:sz w:val="24"/>
          <w:szCs w:val="24"/>
        </w:rPr>
        <w:t>. Esta Suprema Sala de Derecho Constitucional y Social Transitoria modifica sus criterios establecidos en las casaciones señaladas en el considerando anterior, estableciendo como Doctrina Jurisprudencial respecto de la Sentencia 05057-2013-PA/TC JUNÍN, que la misma, no resulta aplicable en los siguientes casos”: “</w:t>
      </w:r>
      <w:r w:rsidRPr="0029495A">
        <w:rPr>
          <w:rFonts w:ascii="Arial Narrow" w:hAnsi="Arial Narrow"/>
          <w:b/>
          <w:bCs/>
          <w:i/>
          <w:iCs/>
          <w:sz w:val="24"/>
          <w:szCs w:val="24"/>
        </w:rPr>
        <w:t>d) Cuando se trate de obreros al servicio de un</w:t>
      </w:r>
      <w:r w:rsidRPr="0029495A">
        <w:rPr>
          <w:rFonts w:ascii="Arial Narrow" w:hAnsi="Arial Narrow"/>
          <w:i/>
          <w:iCs/>
          <w:sz w:val="24"/>
          <w:szCs w:val="24"/>
        </w:rPr>
        <w:t xml:space="preserve"> gobierno municipal, </w:t>
      </w:r>
      <w:r w:rsidRPr="0029495A">
        <w:rPr>
          <w:rFonts w:ascii="Arial Narrow" w:hAnsi="Arial Narrow"/>
          <w:b/>
          <w:bCs/>
          <w:i/>
          <w:iCs/>
          <w:sz w:val="24"/>
          <w:szCs w:val="24"/>
        </w:rPr>
        <w:t>gobierno regional</w:t>
      </w:r>
      <w:r w:rsidRPr="0029495A">
        <w:rPr>
          <w:rFonts w:ascii="Arial Narrow" w:hAnsi="Arial Narrow"/>
          <w:i/>
          <w:iCs/>
          <w:sz w:val="24"/>
          <w:szCs w:val="24"/>
        </w:rPr>
        <w:t>, o cualquier organismo de la Administración Pública”</w:t>
      </w:r>
      <w:r w:rsidR="000C7AC4" w:rsidRPr="0029495A">
        <w:rPr>
          <w:rFonts w:ascii="Arial Narrow" w:hAnsi="Arial Narrow"/>
          <w:i/>
          <w:iCs/>
          <w:sz w:val="24"/>
          <w:szCs w:val="24"/>
        </w:rPr>
        <w:t xml:space="preserve"> (el resaltado es nuestro)</w:t>
      </w:r>
      <w:r w:rsidRPr="0029495A">
        <w:rPr>
          <w:rFonts w:ascii="Arial Narrow" w:hAnsi="Arial Narrow"/>
          <w:i/>
          <w:iCs/>
          <w:sz w:val="24"/>
          <w:szCs w:val="24"/>
        </w:rPr>
        <w:t>.</w:t>
      </w:r>
    </w:p>
    <w:p w14:paraId="1070AF6E" w14:textId="767F0AC2" w:rsidR="00F169B5" w:rsidRPr="0029495A" w:rsidRDefault="00F169B5" w:rsidP="004437D5">
      <w:pPr>
        <w:pStyle w:val="Sinespaciado"/>
        <w:jc w:val="both"/>
        <w:rPr>
          <w:rFonts w:ascii="Arial Narrow" w:hAnsi="Arial Narrow"/>
          <w:sz w:val="24"/>
          <w:szCs w:val="24"/>
        </w:rPr>
      </w:pPr>
    </w:p>
    <w:p w14:paraId="7C746FC2" w14:textId="6E2DE23E" w:rsidR="004437D5" w:rsidRPr="0029495A" w:rsidRDefault="003D3DFC" w:rsidP="004437D5">
      <w:pPr>
        <w:pStyle w:val="Sinespaciado"/>
        <w:jc w:val="both"/>
        <w:rPr>
          <w:rFonts w:ascii="Arial Narrow" w:hAnsi="Arial Narrow"/>
          <w:b/>
          <w:bCs/>
          <w:sz w:val="24"/>
          <w:szCs w:val="24"/>
        </w:rPr>
      </w:pPr>
      <w:r>
        <w:rPr>
          <w:rFonts w:ascii="Arial Narrow" w:hAnsi="Arial Narrow"/>
          <w:sz w:val="24"/>
          <w:szCs w:val="24"/>
        </w:rPr>
        <w:lastRenderedPageBreak/>
        <w:t>3</w:t>
      </w:r>
      <w:r w:rsidR="000C7AC4" w:rsidRPr="0029495A">
        <w:rPr>
          <w:rFonts w:ascii="Arial Narrow" w:hAnsi="Arial Narrow"/>
          <w:sz w:val="24"/>
          <w:szCs w:val="24"/>
        </w:rPr>
        <w:t xml:space="preserve">. </w:t>
      </w:r>
      <w:r w:rsidR="004437D5" w:rsidRPr="0029495A">
        <w:rPr>
          <w:rFonts w:ascii="Arial Narrow" w:hAnsi="Arial Narrow"/>
          <w:sz w:val="24"/>
          <w:szCs w:val="24"/>
        </w:rPr>
        <w:t xml:space="preserve">En efecto, lo indicado en el décimo segundo considerando </w:t>
      </w:r>
      <w:r w:rsidR="004437D5" w:rsidRPr="0029495A">
        <w:rPr>
          <w:rFonts w:ascii="Arial Narrow" w:hAnsi="Arial Narrow"/>
          <w:b/>
          <w:bCs/>
          <w:sz w:val="24"/>
          <w:szCs w:val="24"/>
        </w:rPr>
        <w:t>de la Sentencia de Casación Laboral 34268-2019 Cajamarca es vinculante conforme a lo indicado en el numeral 3 de su fallo que indica</w:t>
      </w:r>
    </w:p>
    <w:p w14:paraId="6458E37A" w14:textId="411BB542" w:rsidR="004437D5" w:rsidRPr="0029495A" w:rsidRDefault="004437D5" w:rsidP="004437D5">
      <w:pPr>
        <w:pStyle w:val="Sinespaciado"/>
        <w:jc w:val="both"/>
        <w:rPr>
          <w:rFonts w:ascii="Arial Narrow" w:hAnsi="Arial Narrow"/>
          <w:b/>
          <w:bCs/>
          <w:i/>
          <w:iCs/>
          <w:sz w:val="24"/>
          <w:szCs w:val="24"/>
        </w:rPr>
      </w:pPr>
    </w:p>
    <w:p w14:paraId="5F057B11" w14:textId="2D66DFA5" w:rsidR="004437D5" w:rsidRPr="0029495A" w:rsidRDefault="004437D5" w:rsidP="004437D5">
      <w:pPr>
        <w:pStyle w:val="Sinespaciado"/>
        <w:jc w:val="both"/>
        <w:rPr>
          <w:rFonts w:ascii="Arial Narrow" w:hAnsi="Arial Narrow"/>
          <w:i/>
          <w:iCs/>
          <w:sz w:val="24"/>
          <w:szCs w:val="24"/>
        </w:rPr>
      </w:pPr>
      <w:r w:rsidRPr="0029495A">
        <w:rPr>
          <w:rFonts w:ascii="Arial Narrow" w:hAnsi="Arial Narrow"/>
          <w:b/>
          <w:bCs/>
          <w:i/>
          <w:iCs/>
          <w:sz w:val="24"/>
          <w:szCs w:val="24"/>
        </w:rPr>
        <w:t>“DECLARARON que el considerando décimo segundo de la presente ejecutoria suprema constituye Doctrina Jurisprudencial por contener principios jurisprudenciales de obligatorio cumplimiento por las instancias inferiores</w:t>
      </w:r>
      <w:r w:rsidRPr="0029495A">
        <w:rPr>
          <w:rFonts w:ascii="Arial Narrow" w:hAnsi="Arial Narrow"/>
          <w:i/>
          <w:iCs/>
          <w:sz w:val="24"/>
          <w:szCs w:val="24"/>
        </w:rPr>
        <w:t xml:space="preserve"> referidos a los alcances del precedente constitucional vinculante establecido en la sentencia del Tribunal Constitucional de fecha dieciséis de abril de dos mil quince recaída en el Expediente 05057-2013-PA/TC JUNÍN”.</w:t>
      </w:r>
    </w:p>
    <w:p w14:paraId="1535C09F" w14:textId="77777777" w:rsidR="004437D5" w:rsidRPr="0029495A" w:rsidRDefault="004437D5" w:rsidP="004437D5">
      <w:pPr>
        <w:pStyle w:val="Sinespaciado"/>
        <w:jc w:val="both"/>
        <w:rPr>
          <w:rFonts w:ascii="Arial Narrow" w:hAnsi="Arial Narrow"/>
          <w:i/>
          <w:iCs/>
          <w:sz w:val="24"/>
          <w:szCs w:val="24"/>
        </w:rPr>
      </w:pPr>
    </w:p>
    <w:p w14:paraId="02CCADF0" w14:textId="3CDC9642" w:rsidR="00F7380C" w:rsidRPr="0029495A" w:rsidRDefault="003D3DFC" w:rsidP="004437D5">
      <w:pPr>
        <w:pStyle w:val="Sinespaciado"/>
        <w:jc w:val="both"/>
        <w:rPr>
          <w:rFonts w:ascii="Arial Narrow" w:hAnsi="Arial Narrow"/>
          <w:sz w:val="24"/>
          <w:szCs w:val="24"/>
        </w:rPr>
      </w:pPr>
      <w:r>
        <w:rPr>
          <w:rFonts w:ascii="Arial Narrow" w:hAnsi="Arial Narrow"/>
          <w:sz w:val="24"/>
          <w:szCs w:val="24"/>
        </w:rPr>
        <w:t>4</w:t>
      </w:r>
      <w:r w:rsidR="004437D5" w:rsidRPr="0029495A">
        <w:rPr>
          <w:rFonts w:ascii="Arial Narrow" w:hAnsi="Arial Narrow"/>
          <w:sz w:val="24"/>
          <w:szCs w:val="24"/>
        </w:rPr>
        <w:t xml:space="preserve">. </w:t>
      </w:r>
      <w:r w:rsidR="00F7380C" w:rsidRPr="0029495A">
        <w:rPr>
          <w:rFonts w:ascii="Arial Narrow" w:hAnsi="Arial Narrow"/>
          <w:sz w:val="24"/>
          <w:szCs w:val="24"/>
        </w:rPr>
        <w:t>De esta manera, la sentencia de vista impugnada al establecer que a los obreros regionales se l</w:t>
      </w:r>
      <w:r w:rsidR="000C7AC4" w:rsidRPr="0029495A">
        <w:rPr>
          <w:rFonts w:ascii="Arial Narrow" w:hAnsi="Arial Narrow"/>
          <w:sz w:val="24"/>
          <w:szCs w:val="24"/>
        </w:rPr>
        <w:t>e</w:t>
      </w:r>
      <w:r w:rsidR="00F7380C" w:rsidRPr="0029495A">
        <w:rPr>
          <w:rFonts w:ascii="Arial Narrow" w:hAnsi="Arial Narrow"/>
          <w:sz w:val="24"/>
          <w:szCs w:val="24"/>
        </w:rPr>
        <w:t xml:space="preserve">s aplica la Sentencia 05057-2013-PA/TC JUNÍN y, por lo tanto, la necesidad de concurso público; se aparta de manera manifiesta de la doctrina jurisprudencial emitida con anterioridad y contenida en el </w:t>
      </w:r>
      <w:r w:rsidR="00F7380C" w:rsidRPr="0029495A">
        <w:rPr>
          <w:rFonts w:ascii="Arial Narrow" w:hAnsi="Arial Narrow"/>
          <w:b/>
          <w:bCs/>
          <w:sz w:val="24"/>
          <w:szCs w:val="24"/>
        </w:rPr>
        <w:t>décimo segundo considerando de la Sentencia de Casación Laboral 34268-2019 Cajamarca que establece que la Sentencia 05057-2013-PA/TC JUNÍN y, por lo tanto, el concurso público, no es aplicable a los obreros al servicio del gobierno regional</w:t>
      </w:r>
      <w:r w:rsidR="00F7380C" w:rsidRPr="0029495A">
        <w:rPr>
          <w:rFonts w:ascii="Arial Narrow" w:hAnsi="Arial Narrow"/>
          <w:sz w:val="24"/>
          <w:szCs w:val="24"/>
        </w:rPr>
        <w:t>.</w:t>
      </w:r>
    </w:p>
    <w:p w14:paraId="6F4E0B85" w14:textId="77777777" w:rsidR="00F169B5" w:rsidRPr="0029495A" w:rsidRDefault="00F169B5" w:rsidP="004437D5">
      <w:pPr>
        <w:pStyle w:val="Sinespaciado"/>
        <w:jc w:val="both"/>
        <w:rPr>
          <w:rFonts w:ascii="Arial Narrow" w:hAnsi="Arial Narrow"/>
          <w:sz w:val="24"/>
          <w:szCs w:val="24"/>
        </w:rPr>
      </w:pPr>
    </w:p>
    <w:p w14:paraId="17D80EE2" w14:textId="302CF0BA" w:rsidR="00A80556" w:rsidRPr="0029495A" w:rsidRDefault="000C7AC4" w:rsidP="004437D5">
      <w:pPr>
        <w:pStyle w:val="Sinespaciado"/>
        <w:jc w:val="both"/>
        <w:rPr>
          <w:rFonts w:ascii="Arial Narrow" w:hAnsi="Arial Narrow"/>
          <w:b/>
          <w:bCs/>
          <w:sz w:val="24"/>
          <w:szCs w:val="24"/>
        </w:rPr>
      </w:pPr>
      <w:r w:rsidRPr="0029495A">
        <w:rPr>
          <w:rFonts w:ascii="Arial Narrow" w:hAnsi="Arial Narrow"/>
          <w:b/>
          <w:bCs/>
          <w:sz w:val="24"/>
          <w:szCs w:val="24"/>
        </w:rPr>
        <w:t xml:space="preserve">IV.4. </w:t>
      </w:r>
      <w:r w:rsidR="00A80556" w:rsidRPr="0029495A">
        <w:rPr>
          <w:rFonts w:ascii="Arial Narrow" w:hAnsi="Arial Narrow"/>
          <w:b/>
          <w:bCs/>
          <w:sz w:val="24"/>
          <w:szCs w:val="24"/>
        </w:rPr>
        <w:t>Expresión específica de cuál es la aplicación que se pretende</w:t>
      </w:r>
    </w:p>
    <w:p w14:paraId="2EFA5888" w14:textId="5EB7A641" w:rsidR="00F7380C" w:rsidRPr="0029495A" w:rsidRDefault="00F7380C" w:rsidP="004437D5">
      <w:pPr>
        <w:pStyle w:val="Sinespaciado"/>
        <w:jc w:val="both"/>
        <w:rPr>
          <w:rFonts w:ascii="Arial Narrow" w:hAnsi="Arial Narrow"/>
          <w:sz w:val="24"/>
          <w:szCs w:val="24"/>
        </w:rPr>
      </w:pPr>
      <w:r w:rsidRPr="0029495A">
        <w:rPr>
          <w:rFonts w:ascii="Arial Narrow" w:hAnsi="Arial Narrow"/>
          <w:sz w:val="24"/>
          <w:szCs w:val="24"/>
        </w:rPr>
        <w:t>Establecido el apartamiento de la doctrina jurisprudencia</w:t>
      </w:r>
      <w:r w:rsidR="003A71D5" w:rsidRPr="0029495A">
        <w:rPr>
          <w:rFonts w:ascii="Arial Narrow" w:hAnsi="Arial Narrow"/>
          <w:sz w:val="24"/>
          <w:szCs w:val="24"/>
        </w:rPr>
        <w:t>l</w:t>
      </w:r>
      <w:r w:rsidRPr="0029495A">
        <w:rPr>
          <w:rFonts w:ascii="Arial Narrow" w:hAnsi="Arial Narrow"/>
          <w:sz w:val="24"/>
          <w:szCs w:val="24"/>
        </w:rPr>
        <w:t xml:space="preserve"> prevista en el décimo segundo considerando de la Sentencia de Casación 34268-2019 Cajamarca, solicito que declarándose fundado el recurso de casación por apartamiento inmotivado de precedente judicial, </w:t>
      </w:r>
      <w:r w:rsidRPr="0029495A">
        <w:rPr>
          <w:rFonts w:ascii="Arial Narrow" w:hAnsi="Arial Narrow"/>
          <w:b/>
          <w:bCs/>
          <w:sz w:val="24"/>
          <w:szCs w:val="24"/>
        </w:rPr>
        <w:t>REVOQUE</w:t>
      </w:r>
      <w:r w:rsidR="00172AB1" w:rsidRPr="0029495A">
        <w:rPr>
          <w:rFonts w:ascii="Arial Narrow" w:hAnsi="Arial Narrow"/>
          <w:b/>
          <w:bCs/>
          <w:sz w:val="24"/>
          <w:szCs w:val="24"/>
          <w:vertAlign w:val="superscript"/>
        </w:rPr>
        <w:footnoteReference w:id="3"/>
      </w:r>
      <w:r w:rsidRPr="0029495A">
        <w:rPr>
          <w:rFonts w:ascii="Arial Narrow" w:hAnsi="Arial Narrow"/>
          <w:b/>
          <w:bCs/>
          <w:sz w:val="24"/>
          <w:szCs w:val="24"/>
        </w:rPr>
        <w:t xml:space="preserve"> íntegramente la sentencia de segunda instancia</w:t>
      </w:r>
      <w:r w:rsidR="003A71D5" w:rsidRPr="0029495A">
        <w:rPr>
          <w:rFonts w:ascii="Arial Narrow" w:hAnsi="Arial Narrow"/>
          <w:sz w:val="24"/>
          <w:szCs w:val="24"/>
        </w:rPr>
        <w:t>, declarándose fundada la demanda</w:t>
      </w:r>
      <w:r w:rsidR="00172AB1" w:rsidRPr="0029495A">
        <w:rPr>
          <w:rFonts w:ascii="Arial Narrow" w:hAnsi="Arial Narrow"/>
          <w:sz w:val="24"/>
          <w:szCs w:val="24"/>
        </w:rPr>
        <w:t>.</w:t>
      </w:r>
    </w:p>
    <w:p w14:paraId="68CB5471" w14:textId="5B735BCD" w:rsidR="004B7E42" w:rsidRPr="0029495A" w:rsidRDefault="004B7E42" w:rsidP="004437D5">
      <w:pPr>
        <w:pStyle w:val="Sinespaciado"/>
        <w:jc w:val="both"/>
        <w:rPr>
          <w:rFonts w:ascii="Arial Narrow" w:hAnsi="Arial Narrow"/>
          <w:sz w:val="24"/>
          <w:szCs w:val="24"/>
        </w:rPr>
      </w:pPr>
    </w:p>
    <w:p w14:paraId="73959EC3" w14:textId="164B8F01" w:rsidR="004B7E42" w:rsidRPr="0029495A" w:rsidRDefault="004B7E42" w:rsidP="004437D5">
      <w:pPr>
        <w:pStyle w:val="Sinespaciado"/>
        <w:jc w:val="center"/>
        <w:rPr>
          <w:rFonts w:ascii="Arial Narrow" w:hAnsi="Arial Narrow"/>
          <w:b/>
          <w:bCs/>
          <w:sz w:val="24"/>
          <w:szCs w:val="24"/>
        </w:rPr>
      </w:pPr>
      <w:r w:rsidRPr="0029495A">
        <w:rPr>
          <w:rFonts w:ascii="Arial Narrow" w:hAnsi="Arial Narrow"/>
          <w:b/>
          <w:bCs/>
          <w:sz w:val="24"/>
          <w:szCs w:val="24"/>
        </w:rPr>
        <w:t>POR LO EXPUESTO</w:t>
      </w:r>
    </w:p>
    <w:p w14:paraId="6BB9E7F6" w14:textId="1160DAA7" w:rsidR="004B7E42" w:rsidRPr="0029495A" w:rsidRDefault="004B7E42" w:rsidP="004437D5">
      <w:pPr>
        <w:pStyle w:val="Sinespaciado"/>
        <w:jc w:val="both"/>
        <w:rPr>
          <w:rFonts w:ascii="Arial Narrow" w:hAnsi="Arial Narrow"/>
          <w:sz w:val="24"/>
          <w:szCs w:val="24"/>
        </w:rPr>
      </w:pPr>
      <w:r w:rsidRPr="0029495A">
        <w:rPr>
          <w:rFonts w:ascii="Arial Narrow" w:hAnsi="Arial Narrow"/>
          <w:sz w:val="24"/>
          <w:szCs w:val="24"/>
        </w:rPr>
        <w:t xml:space="preserve">Pido a Usted admitir a trámite el presente recurso </w:t>
      </w:r>
      <w:r w:rsidR="000C7AC4" w:rsidRPr="0029495A">
        <w:rPr>
          <w:rFonts w:ascii="Arial Narrow" w:hAnsi="Arial Narrow"/>
          <w:sz w:val="24"/>
          <w:szCs w:val="24"/>
        </w:rPr>
        <w:t>d</w:t>
      </w:r>
      <w:r w:rsidRPr="0029495A">
        <w:rPr>
          <w:rFonts w:ascii="Arial Narrow" w:hAnsi="Arial Narrow"/>
          <w:sz w:val="24"/>
          <w:szCs w:val="24"/>
        </w:rPr>
        <w:t>e casación y elevar los actuados a la Corte Suprema.</w:t>
      </w:r>
    </w:p>
    <w:p w14:paraId="651AFD1B" w14:textId="37AC6494" w:rsidR="004B7E42" w:rsidRPr="0029495A" w:rsidRDefault="004B7E42" w:rsidP="004437D5">
      <w:pPr>
        <w:pStyle w:val="Sinespaciado"/>
        <w:jc w:val="both"/>
        <w:rPr>
          <w:rFonts w:ascii="Arial Narrow" w:hAnsi="Arial Narrow"/>
          <w:sz w:val="24"/>
          <w:szCs w:val="24"/>
        </w:rPr>
      </w:pPr>
    </w:p>
    <w:p w14:paraId="6B9B438D" w14:textId="560859C5" w:rsidR="004437D5" w:rsidRPr="0029495A" w:rsidRDefault="004437D5" w:rsidP="004437D5">
      <w:pPr>
        <w:pStyle w:val="Sinespaciado"/>
        <w:jc w:val="both"/>
        <w:rPr>
          <w:rFonts w:ascii="Arial Narrow" w:hAnsi="Arial Narrow"/>
          <w:sz w:val="24"/>
          <w:szCs w:val="24"/>
        </w:rPr>
      </w:pPr>
      <w:r w:rsidRPr="0029495A">
        <w:rPr>
          <w:rFonts w:ascii="Arial Narrow" w:hAnsi="Arial Narrow"/>
          <w:b/>
          <w:bCs/>
          <w:sz w:val="24"/>
          <w:szCs w:val="24"/>
        </w:rPr>
        <w:t>OTROSÍ</w:t>
      </w:r>
      <w:r w:rsidRPr="0029495A">
        <w:rPr>
          <w:rFonts w:ascii="Arial Narrow" w:hAnsi="Arial Narrow"/>
          <w:sz w:val="24"/>
          <w:szCs w:val="24"/>
        </w:rPr>
        <w:t xml:space="preserve">. Como medio de prueba adjunto la Sentencia de Casación </w:t>
      </w:r>
      <w:r w:rsidR="003D3DFC" w:rsidRPr="003D3DFC">
        <w:rPr>
          <w:rFonts w:ascii="Arial Narrow" w:hAnsi="Arial Narrow"/>
          <w:b/>
          <w:bCs/>
          <w:sz w:val="24"/>
          <w:szCs w:val="24"/>
        </w:rPr>
        <w:t>[…]</w:t>
      </w:r>
      <w:r w:rsidRPr="0029495A">
        <w:rPr>
          <w:rFonts w:ascii="Arial Narrow" w:hAnsi="Arial Narrow"/>
          <w:sz w:val="24"/>
          <w:szCs w:val="24"/>
        </w:rPr>
        <w:t xml:space="preserve">, que es la decisión vinculante materia de apartamiento, esto conforme al artículo 395 del Código Procesal Civil que indica </w:t>
      </w:r>
      <w:r w:rsidRPr="0029495A">
        <w:rPr>
          <w:rFonts w:ascii="Arial Narrow" w:hAnsi="Arial Narrow"/>
          <w:i/>
          <w:iCs/>
          <w:sz w:val="24"/>
          <w:szCs w:val="24"/>
        </w:rPr>
        <w:t>“</w:t>
      </w:r>
      <w:r w:rsidRPr="0029495A">
        <w:rPr>
          <w:rFonts w:ascii="Arial Narrow" w:hAnsi="Arial Narrow"/>
          <w:b/>
          <w:bCs/>
          <w:i/>
          <w:iCs/>
          <w:sz w:val="24"/>
          <w:szCs w:val="24"/>
        </w:rPr>
        <w:t>Los únicos medios de prueba que proceden son los documentos que acreditan la existencia del precedente judicial</w:t>
      </w:r>
      <w:r w:rsidRPr="0029495A">
        <w:rPr>
          <w:rFonts w:ascii="Arial Narrow" w:hAnsi="Arial Narrow"/>
          <w:i/>
          <w:iCs/>
          <w:sz w:val="24"/>
          <w:szCs w:val="24"/>
        </w:rPr>
        <w:t xml:space="preserve"> o de la ley extranjera y su sentido, en los proceso sobre derecho internacional privado”</w:t>
      </w:r>
      <w:r w:rsidRPr="0029495A">
        <w:rPr>
          <w:rFonts w:ascii="Arial Narrow" w:hAnsi="Arial Narrow"/>
          <w:sz w:val="24"/>
          <w:szCs w:val="24"/>
        </w:rPr>
        <w:t>.</w:t>
      </w:r>
    </w:p>
    <w:p w14:paraId="4CA0D56C" w14:textId="77777777" w:rsidR="004437D5" w:rsidRPr="0029495A" w:rsidRDefault="004437D5" w:rsidP="004437D5">
      <w:pPr>
        <w:pStyle w:val="Sinespaciado"/>
        <w:jc w:val="both"/>
        <w:rPr>
          <w:rFonts w:ascii="Arial Narrow" w:hAnsi="Arial Narrow"/>
          <w:sz w:val="24"/>
          <w:szCs w:val="24"/>
        </w:rPr>
      </w:pPr>
    </w:p>
    <w:p w14:paraId="35C51754" w14:textId="073FF7A1" w:rsidR="003A7B43" w:rsidRPr="0029495A" w:rsidRDefault="003D3DFC" w:rsidP="004437D5">
      <w:pPr>
        <w:pStyle w:val="Sinespaciado"/>
        <w:jc w:val="both"/>
        <w:rPr>
          <w:rFonts w:ascii="Arial Narrow" w:hAnsi="Arial Narrow"/>
          <w:sz w:val="24"/>
          <w:szCs w:val="24"/>
        </w:rPr>
      </w:pPr>
      <w:r>
        <w:rPr>
          <w:rFonts w:ascii="Arial Narrow" w:hAnsi="Arial Narrow"/>
          <w:sz w:val="24"/>
          <w:szCs w:val="24"/>
        </w:rPr>
        <w:t>Ayacucho</w:t>
      </w:r>
      <w:r w:rsidR="003A7B43" w:rsidRPr="0029495A">
        <w:rPr>
          <w:rFonts w:ascii="Arial Narrow" w:hAnsi="Arial Narrow"/>
          <w:sz w:val="24"/>
          <w:szCs w:val="24"/>
        </w:rPr>
        <w:t xml:space="preserve">, </w:t>
      </w:r>
      <w:r>
        <w:rPr>
          <w:rFonts w:ascii="Arial Narrow" w:hAnsi="Arial Narrow"/>
          <w:sz w:val="24"/>
          <w:szCs w:val="24"/>
        </w:rPr>
        <w:t>11</w:t>
      </w:r>
      <w:r w:rsidR="003A7B43" w:rsidRPr="0029495A">
        <w:rPr>
          <w:rFonts w:ascii="Arial Narrow" w:hAnsi="Arial Narrow"/>
          <w:sz w:val="24"/>
          <w:szCs w:val="24"/>
        </w:rPr>
        <w:t xml:space="preserve"> de enero de 2023</w:t>
      </w:r>
    </w:p>
    <w:p w14:paraId="72D4AF66" w14:textId="49C453BB" w:rsidR="003A7B43" w:rsidRPr="0029495A" w:rsidRDefault="003A7B43" w:rsidP="004437D5">
      <w:pPr>
        <w:pStyle w:val="Sinespaciado"/>
        <w:jc w:val="both"/>
        <w:rPr>
          <w:rFonts w:ascii="Arial Narrow" w:hAnsi="Arial Narrow"/>
          <w:sz w:val="24"/>
          <w:szCs w:val="24"/>
        </w:rPr>
      </w:pPr>
    </w:p>
    <w:p w14:paraId="0BCD037B" w14:textId="02E5ADB5" w:rsidR="003A7B43" w:rsidRPr="0029495A" w:rsidRDefault="003A7B43" w:rsidP="004437D5">
      <w:pPr>
        <w:pStyle w:val="Sinespaciado"/>
        <w:jc w:val="both"/>
        <w:rPr>
          <w:rFonts w:ascii="Arial Narrow" w:hAnsi="Arial Narrow"/>
          <w:sz w:val="24"/>
          <w:szCs w:val="24"/>
        </w:rPr>
      </w:pPr>
    </w:p>
    <w:p w14:paraId="4045ADBB" w14:textId="77777777" w:rsidR="000C7AC4" w:rsidRPr="0029495A" w:rsidRDefault="000C7AC4" w:rsidP="004437D5">
      <w:pPr>
        <w:pStyle w:val="Sinespaciado"/>
        <w:jc w:val="both"/>
        <w:rPr>
          <w:rFonts w:ascii="Arial Narrow" w:hAnsi="Arial Narrow"/>
          <w:sz w:val="24"/>
          <w:szCs w:val="24"/>
        </w:rPr>
      </w:pPr>
    </w:p>
    <w:p w14:paraId="688B7C1C" w14:textId="6A1A487C" w:rsidR="003A7B43" w:rsidRDefault="003D3DFC" w:rsidP="004437D5">
      <w:pPr>
        <w:pStyle w:val="Sinespaciado"/>
        <w:jc w:val="center"/>
        <w:rPr>
          <w:rFonts w:ascii="Arial Narrow" w:hAnsi="Arial Narrow"/>
          <w:b/>
          <w:bCs/>
          <w:sz w:val="24"/>
          <w:szCs w:val="24"/>
        </w:rPr>
      </w:pPr>
      <w:r>
        <w:rPr>
          <w:rFonts w:ascii="Arial Narrow" w:hAnsi="Arial Narrow"/>
          <w:b/>
          <w:bCs/>
          <w:sz w:val="24"/>
          <w:szCs w:val="24"/>
        </w:rPr>
        <w:t>[firma del recurrente que presenta la casación]</w:t>
      </w:r>
    </w:p>
    <w:p w14:paraId="0D5BA81F" w14:textId="439A8C02" w:rsidR="003D3DFC" w:rsidRPr="0029495A" w:rsidRDefault="003D3DFC" w:rsidP="004437D5">
      <w:pPr>
        <w:pStyle w:val="Sinespaciado"/>
        <w:jc w:val="center"/>
        <w:rPr>
          <w:rFonts w:ascii="Arial Narrow" w:hAnsi="Arial Narrow"/>
          <w:b/>
          <w:bCs/>
          <w:sz w:val="24"/>
          <w:szCs w:val="24"/>
        </w:rPr>
      </w:pPr>
      <w:r>
        <w:rPr>
          <w:rFonts w:ascii="Arial Narrow" w:hAnsi="Arial Narrow"/>
          <w:b/>
          <w:bCs/>
          <w:sz w:val="24"/>
          <w:szCs w:val="24"/>
        </w:rPr>
        <w:t>[firma del abogado]</w:t>
      </w:r>
    </w:p>
    <w:sectPr w:rsidR="003D3DFC" w:rsidRPr="0029495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BD592" w14:textId="77777777" w:rsidR="00DA69AB" w:rsidRDefault="00DA69AB" w:rsidP="003A7B43">
      <w:pPr>
        <w:spacing w:after="0" w:line="240" w:lineRule="auto"/>
      </w:pPr>
      <w:r>
        <w:separator/>
      </w:r>
    </w:p>
  </w:endnote>
  <w:endnote w:type="continuationSeparator" w:id="0">
    <w:p w14:paraId="690B0FD1" w14:textId="77777777" w:rsidR="00DA69AB" w:rsidRDefault="00DA69AB" w:rsidP="003A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380"/>
      <w:docPartObj>
        <w:docPartGallery w:val="Page Numbers (Bottom of Page)"/>
        <w:docPartUnique/>
      </w:docPartObj>
    </w:sdtPr>
    <w:sdtEndPr/>
    <w:sdtContent>
      <w:p w14:paraId="5C068221" w14:textId="2134AF31" w:rsidR="003A71D5" w:rsidRDefault="003A71D5">
        <w:pPr>
          <w:pStyle w:val="Piedepgina"/>
          <w:jc w:val="center"/>
        </w:pPr>
        <w:r>
          <w:fldChar w:fldCharType="begin"/>
        </w:r>
        <w:r>
          <w:instrText>PAGE   \* MERGEFORMAT</w:instrText>
        </w:r>
        <w:r>
          <w:fldChar w:fldCharType="separate"/>
        </w:r>
        <w:r>
          <w:rPr>
            <w:lang w:val="es-ES"/>
          </w:rPr>
          <w:t>2</w:t>
        </w:r>
        <w:r>
          <w:fldChar w:fldCharType="end"/>
        </w:r>
      </w:p>
    </w:sdtContent>
  </w:sdt>
  <w:p w14:paraId="4ED5BBEF" w14:textId="77777777" w:rsidR="003A71D5" w:rsidRDefault="003A71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0248D" w14:textId="77777777" w:rsidR="00DA69AB" w:rsidRDefault="00DA69AB" w:rsidP="003A7B43">
      <w:pPr>
        <w:spacing w:after="0" w:line="240" w:lineRule="auto"/>
      </w:pPr>
      <w:r>
        <w:separator/>
      </w:r>
    </w:p>
  </w:footnote>
  <w:footnote w:type="continuationSeparator" w:id="0">
    <w:p w14:paraId="6CE93441" w14:textId="77777777" w:rsidR="00DA69AB" w:rsidRDefault="00DA69AB" w:rsidP="003A7B43">
      <w:pPr>
        <w:spacing w:after="0" w:line="240" w:lineRule="auto"/>
      </w:pPr>
      <w:r>
        <w:continuationSeparator/>
      </w:r>
    </w:p>
  </w:footnote>
  <w:footnote w:id="1">
    <w:p w14:paraId="03773852" w14:textId="2D701390" w:rsidR="00B3568A" w:rsidRPr="003A71D5" w:rsidRDefault="00B3568A" w:rsidP="003A71D5">
      <w:pPr>
        <w:pStyle w:val="Sinespaciado"/>
        <w:jc w:val="both"/>
        <w:rPr>
          <w:rFonts w:cstheme="minorHAnsi"/>
          <w:sz w:val="18"/>
          <w:szCs w:val="18"/>
        </w:rPr>
      </w:pPr>
      <w:r w:rsidRPr="003A71D5">
        <w:rPr>
          <w:rStyle w:val="Refdenotaalpie"/>
          <w:rFonts w:cstheme="minorHAnsi"/>
          <w:sz w:val="18"/>
          <w:szCs w:val="18"/>
          <w:vertAlign w:val="baseline"/>
        </w:rPr>
        <w:footnoteRef/>
      </w:r>
      <w:r w:rsidRPr="003A71D5">
        <w:rPr>
          <w:rFonts w:cstheme="minorHAnsi"/>
          <w:sz w:val="18"/>
          <w:szCs w:val="18"/>
        </w:rPr>
        <w:t xml:space="preserve"> El inciso 2) del artículo 391 del Código Procesal Civil indica </w:t>
      </w:r>
      <w:r w:rsidRPr="003A71D5">
        <w:rPr>
          <w:rFonts w:cstheme="minorHAnsi"/>
          <w:i/>
          <w:iCs/>
          <w:sz w:val="18"/>
          <w:szCs w:val="18"/>
        </w:rPr>
        <w:t>“El recurso se interpone: a. Ante la Sala Superior que emitió la resolución impugnada. b. Dentro del plazo de diez días, contado desde el día siguiente de notificada la resolución que se impugna, más el término de la distancia cuando corresponda. c. Adjuntando el recibo de la tasa respectiva”</w:t>
      </w:r>
      <w:r w:rsidRPr="003A71D5">
        <w:rPr>
          <w:rFonts w:cstheme="minorHAnsi"/>
          <w:sz w:val="18"/>
          <w:szCs w:val="18"/>
        </w:rPr>
        <w:t>.</w:t>
      </w:r>
    </w:p>
  </w:footnote>
  <w:footnote w:id="2">
    <w:p w14:paraId="449B9F56" w14:textId="621A88D9" w:rsidR="00D3709C" w:rsidRPr="003A71D5" w:rsidRDefault="00D3709C" w:rsidP="003A71D5">
      <w:pPr>
        <w:pStyle w:val="Sinespaciado"/>
        <w:jc w:val="both"/>
        <w:rPr>
          <w:rFonts w:cstheme="minorHAnsi"/>
          <w:sz w:val="18"/>
          <w:szCs w:val="18"/>
        </w:rPr>
      </w:pPr>
      <w:r w:rsidRPr="003A71D5">
        <w:rPr>
          <w:rStyle w:val="Refdenotaalpie"/>
          <w:rFonts w:cstheme="minorHAnsi"/>
          <w:sz w:val="18"/>
          <w:szCs w:val="18"/>
          <w:vertAlign w:val="baseline"/>
        </w:rPr>
        <w:footnoteRef/>
      </w:r>
      <w:r w:rsidRPr="003A71D5">
        <w:rPr>
          <w:rFonts w:cstheme="minorHAnsi"/>
          <w:sz w:val="18"/>
          <w:szCs w:val="18"/>
        </w:rPr>
        <w:t xml:space="preserve"> El artículo 386 del CPC indica </w:t>
      </w:r>
      <w:r w:rsidRPr="003A71D5">
        <w:rPr>
          <w:rFonts w:cstheme="minorHAnsi"/>
          <w:i/>
          <w:iCs/>
          <w:sz w:val="18"/>
          <w:szCs w:val="18"/>
        </w:rPr>
        <w:t>“1. El recurso de casación procede contra las sentencias y autos expedidos por las salas superiores que, como órganos de segundo grado, ponen fin al proceso. 2. Procede el recurso de casación, en los supuestos del numeral anterior, siempre que: a. En la sentencia o auto se discuta una pretensión mayor a las 500 unidades de referencia procesal o que la pretensión sea inestimable en dinero; b. el pronunciamiento de segunda instancia revoque en todo o en parte la decisión de primera instancia, y c. el pronunciamiento de segunda instancia no sea anulatorio”. Asimismo, el artículo 393, inciso 1, literal c) del Código Procesal Civil que indica “1. La Sala Civil de la Corte Suprema declarará la improcedencia del recurso de casación cuando”: “c. el recurrente hubiera consentido previamente la resolución adversa de primera instancia, si esta fuere confirmada por la resolución objeto del recurso; o si invoca violaciones de la ley que no hayan sido deducidas en los fundamentos de su recurso de apelación”</w:t>
      </w:r>
      <w:r w:rsidRPr="003A71D5">
        <w:rPr>
          <w:rFonts w:cstheme="minorHAnsi"/>
          <w:sz w:val="18"/>
          <w:szCs w:val="18"/>
        </w:rPr>
        <w:t>.</w:t>
      </w:r>
    </w:p>
  </w:footnote>
  <w:footnote w:id="3">
    <w:p w14:paraId="4A41D418" w14:textId="5FB37117" w:rsidR="00172AB1" w:rsidRPr="003A71D5" w:rsidRDefault="00172AB1" w:rsidP="003A71D5">
      <w:pPr>
        <w:pStyle w:val="Sinespaciado"/>
        <w:jc w:val="both"/>
        <w:rPr>
          <w:rFonts w:cstheme="minorHAnsi"/>
          <w:sz w:val="18"/>
          <w:szCs w:val="18"/>
        </w:rPr>
      </w:pPr>
      <w:r w:rsidRPr="003A71D5">
        <w:rPr>
          <w:rStyle w:val="Refdenotaalpie"/>
          <w:rFonts w:cstheme="minorHAnsi"/>
          <w:sz w:val="18"/>
          <w:szCs w:val="18"/>
          <w:vertAlign w:val="baseline"/>
        </w:rPr>
        <w:footnoteRef/>
      </w:r>
      <w:r w:rsidRPr="003A71D5">
        <w:rPr>
          <w:rFonts w:cstheme="minorHAnsi"/>
          <w:sz w:val="18"/>
          <w:szCs w:val="18"/>
        </w:rPr>
        <w:t xml:space="preserve"> Esto es conforme al artículo 397 del Código Procesal Civil que indica “Si la Sala Suprema declara fundado el recurso por infracción de una norma de derecho material, la resolución impugnada debe revocarse, íntegra o parcialmente, según corresponda. También se revocará la decisión si la infracción es de una norma procesal que, a la vez, es objeto de la decisión impugnada. Si se declara fundado el recurso por apartamiento inmotivado del precedente judicial, la Corte procede conforme a lo indicado en el párrafo anterior, según corresponda a la naturaleza material o procesal de este”.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FE29" w14:textId="77777777" w:rsidR="003A7B43" w:rsidRDefault="003A7B43" w:rsidP="003A7B43">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lang w:val="en-US" w:eastAsia="en-US"/>
      </w:rPr>
      <w:drawing>
        <wp:anchor distT="0" distB="0" distL="114300" distR="114300" simplePos="0" relativeHeight="251659264" behindDoc="0" locked="0" layoutInCell="1" hidden="0" allowOverlap="1" wp14:anchorId="02A4F59C" wp14:editId="0D6F19A6">
          <wp:simplePos x="0" y="0"/>
          <wp:positionH relativeFrom="column">
            <wp:posOffset>252095</wp:posOffset>
          </wp:positionH>
          <wp:positionV relativeFrom="paragraph">
            <wp:posOffset>106679</wp:posOffset>
          </wp:positionV>
          <wp:extent cx="476250" cy="471805"/>
          <wp:effectExtent l="0" t="0" r="0" b="0"/>
          <wp:wrapSquare wrapText="bothSides" distT="0" distB="0" distL="114300" distR="114300"/>
          <wp:docPr id="2" name="image2.png" descr="simbolo-masonico"/>
          <wp:cNvGraphicFramePr/>
          <a:graphic xmlns:a="http://schemas.openxmlformats.org/drawingml/2006/main">
            <a:graphicData uri="http://schemas.openxmlformats.org/drawingml/2006/picture">
              <pic:pic xmlns:pic="http://schemas.openxmlformats.org/drawingml/2006/picture">
                <pic:nvPicPr>
                  <pic:cNvPr id="0" name="image2.png" descr="simbolo-masonico"/>
                  <pic:cNvPicPr preferRelativeResize="0"/>
                </pic:nvPicPr>
                <pic:blipFill>
                  <a:blip r:embed="rId1"/>
                  <a:srcRect/>
                  <a:stretch>
                    <a:fillRect/>
                  </a:stretch>
                </pic:blipFill>
                <pic:spPr>
                  <a:xfrm>
                    <a:off x="0" y="0"/>
                    <a:ext cx="476250" cy="471805"/>
                  </a:xfrm>
                  <a:prstGeom prst="rect">
                    <a:avLst/>
                  </a:prstGeom>
                  <a:ln/>
                </pic:spPr>
              </pic:pic>
            </a:graphicData>
          </a:graphic>
        </wp:anchor>
      </w:drawing>
    </w:r>
  </w:p>
  <w:p w14:paraId="5D4B713D" w14:textId="77777777" w:rsidR="003A7B43" w:rsidRDefault="003A7B43" w:rsidP="003A7B43">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corporacionhiramservicioslegales.com</w:t>
    </w:r>
  </w:p>
  <w:p w14:paraId="3244253A" w14:textId="77777777" w:rsidR="003A7B43" w:rsidRDefault="003A7B43" w:rsidP="003A7B43">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149ADE8A" w14:textId="618599CE" w:rsidR="003A7B43" w:rsidRPr="003A7B43" w:rsidRDefault="003A7B43" w:rsidP="003A7B43">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89"/>
    <w:rsid w:val="00007ECE"/>
    <w:rsid w:val="000A0019"/>
    <w:rsid w:val="000C7AC4"/>
    <w:rsid w:val="001037D5"/>
    <w:rsid w:val="00172AB1"/>
    <w:rsid w:val="00213164"/>
    <w:rsid w:val="0029495A"/>
    <w:rsid w:val="00316927"/>
    <w:rsid w:val="003A71D5"/>
    <w:rsid w:val="003A7B43"/>
    <w:rsid w:val="003B441E"/>
    <w:rsid w:val="003D3DFC"/>
    <w:rsid w:val="003E2F29"/>
    <w:rsid w:val="003E4FC7"/>
    <w:rsid w:val="004433F5"/>
    <w:rsid w:val="004437D5"/>
    <w:rsid w:val="004B7E42"/>
    <w:rsid w:val="006E5E7D"/>
    <w:rsid w:val="007C4CBF"/>
    <w:rsid w:val="008272C5"/>
    <w:rsid w:val="00832EA1"/>
    <w:rsid w:val="00A80556"/>
    <w:rsid w:val="00A91B89"/>
    <w:rsid w:val="00B3568A"/>
    <w:rsid w:val="00BF0079"/>
    <w:rsid w:val="00C24D4F"/>
    <w:rsid w:val="00D3709C"/>
    <w:rsid w:val="00DA69AB"/>
    <w:rsid w:val="00DF1A48"/>
    <w:rsid w:val="00E76E13"/>
    <w:rsid w:val="00F169B5"/>
    <w:rsid w:val="00F738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EFD2"/>
  <w15:chartTrackingRefBased/>
  <w15:docId w15:val="{5999E6CE-0A02-4962-8934-B1913A04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B43"/>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91B89"/>
    <w:pPr>
      <w:spacing w:after="0" w:line="240" w:lineRule="auto"/>
    </w:pPr>
  </w:style>
  <w:style w:type="paragraph" w:styleId="Encabezado">
    <w:name w:val="header"/>
    <w:basedOn w:val="Normal"/>
    <w:link w:val="EncabezadoCar"/>
    <w:uiPriority w:val="99"/>
    <w:unhideWhenUsed/>
    <w:rsid w:val="003A7B43"/>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3A7B43"/>
  </w:style>
  <w:style w:type="paragraph" w:styleId="Piedepgina">
    <w:name w:val="footer"/>
    <w:basedOn w:val="Normal"/>
    <w:link w:val="PiedepginaCar"/>
    <w:uiPriority w:val="99"/>
    <w:unhideWhenUsed/>
    <w:rsid w:val="003A7B43"/>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3A7B43"/>
  </w:style>
  <w:style w:type="table" w:customStyle="1" w:styleId="TableNormal">
    <w:name w:val="Table Normal"/>
    <w:rsid w:val="003A7B43"/>
    <w:rPr>
      <w:rFonts w:ascii="Calibri" w:eastAsia="Calibri" w:hAnsi="Calibri" w:cs="Calibri"/>
      <w:lang w:eastAsia="es-PE"/>
    </w:rPr>
    <w:tblPr>
      <w:tblCellMar>
        <w:top w:w="0" w:type="dxa"/>
        <w:left w:w="0" w:type="dxa"/>
        <w:bottom w:w="0" w:type="dxa"/>
        <w:right w:w="0" w:type="dxa"/>
      </w:tblCellMar>
    </w:tblPr>
  </w:style>
  <w:style w:type="table" w:styleId="Tablaconcuadrcula">
    <w:name w:val="Table Grid"/>
    <w:basedOn w:val="Tablanormal"/>
    <w:uiPriority w:val="39"/>
    <w:rsid w:val="003E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E2F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2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3E2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520E8-6CC3-4ED2-AE93-CF6B235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1404</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2023-01-09T23:30:00Z</dcterms:created>
  <dcterms:modified xsi:type="dcterms:W3CDTF">2023-01-12T04:36:00Z</dcterms:modified>
</cp:coreProperties>
</file>